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DDE39" w14:textId="77777777" w:rsidR="00075F4C" w:rsidRDefault="00075F4C" w:rsidP="00935049">
      <w:pPr>
        <w:rPr>
          <w:b/>
          <w:bCs/>
        </w:rPr>
      </w:pPr>
    </w:p>
    <w:p w14:paraId="44047D4F" w14:textId="2B215CE4" w:rsidR="00935049" w:rsidRPr="00935049" w:rsidRDefault="008A7ED7" w:rsidP="00935049">
      <w:pPr>
        <w:rPr>
          <w:b/>
          <w:bCs/>
        </w:rPr>
      </w:pPr>
      <w:r>
        <w:rPr>
          <w:b/>
          <w:bCs/>
        </w:rPr>
        <w:t xml:space="preserve">Brief on </w:t>
      </w:r>
      <w:r w:rsidR="00935049" w:rsidRPr="00935049">
        <w:rPr>
          <w:b/>
          <w:bCs/>
        </w:rPr>
        <w:t>Certification Process, Rules and Procedures – ISCC CORSIA</w:t>
      </w:r>
    </w:p>
    <w:p w14:paraId="7B481D5B" w14:textId="77777777" w:rsidR="00935049" w:rsidRPr="00935049" w:rsidRDefault="00935049" w:rsidP="00935049">
      <w:r w:rsidRPr="00935049">
        <w:t xml:space="preserve">TÜV India </w:t>
      </w:r>
      <w:proofErr w:type="spellStart"/>
      <w:r w:rsidRPr="00935049">
        <w:t>Pvt.</w:t>
      </w:r>
      <w:proofErr w:type="spellEnd"/>
      <w:r w:rsidRPr="00935049">
        <w:t xml:space="preserve"> Ltd. operates the ISCC CORSIA certification and verification programme in accordance with applicable accreditation requirements, ISCC system requirements, ISO 17065, and relevant ISCC CORSIA rule books and regulatory obligations.</w:t>
      </w:r>
    </w:p>
    <w:p w14:paraId="189B2E36" w14:textId="77777777" w:rsidR="00935049" w:rsidRPr="00935049" w:rsidRDefault="00935049" w:rsidP="00935049">
      <w:r w:rsidRPr="00935049">
        <w:t>The certification process includes the following stages:</w:t>
      </w:r>
    </w:p>
    <w:p w14:paraId="144894BA" w14:textId="77777777" w:rsidR="00935049" w:rsidRPr="00935049" w:rsidRDefault="00935049" w:rsidP="00935049">
      <w:pPr>
        <w:numPr>
          <w:ilvl w:val="0"/>
          <w:numId w:val="1"/>
        </w:numPr>
      </w:pPr>
      <w:r w:rsidRPr="00935049">
        <w:rPr>
          <w:b/>
          <w:bCs/>
        </w:rPr>
        <w:t>Application Review</w:t>
      </w:r>
      <w:r w:rsidRPr="00935049">
        <w:t xml:space="preserve"> </w:t>
      </w:r>
    </w:p>
    <w:p w14:paraId="3F7E6582" w14:textId="77777777" w:rsidR="00935049" w:rsidRPr="00935049" w:rsidRDefault="00935049" w:rsidP="00935049">
      <w:pPr>
        <w:numPr>
          <w:ilvl w:val="1"/>
          <w:numId w:val="1"/>
        </w:numPr>
      </w:pPr>
      <w:r w:rsidRPr="00935049">
        <w:t xml:space="preserve">Review of application and scope </w:t>
      </w:r>
    </w:p>
    <w:p w14:paraId="6F090012" w14:textId="77777777" w:rsidR="00935049" w:rsidRPr="00935049" w:rsidRDefault="00935049" w:rsidP="00935049">
      <w:pPr>
        <w:numPr>
          <w:ilvl w:val="1"/>
          <w:numId w:val="1"/>
        </w:numPr>
      </w:pPr>
      <w:r w:rsidRPr="00935049">
        <w:t xml:space="preserve">Determination of competency and resource requirements </w:t>
      </w:r>
    </w:p>
    <w:p w14:paraId="47549632" w14:textId="77777777" w:rsidR="00935049" w:rsidRPr="00935049" w:rsidRDefault="00935049" w:rsidP="00935049">
      <w:pPr>
        <w:numPr>
          <w:ilvl w:val="1"/>
          <w:numId w:val="1"/>
        </w:numPr>
      </w:pPr>
      <w:r w:rsidRPr="00935049">
        <w:t xml:space="preserve">Contract review and acceptance </w:t>
      </w:r>
    </w:p>
    <w:p w14:paraId="1312C61F" w14:textId="77777777" w:rsidR="00935049" w:rsidRPr="00935049" w:rsidRDefault="00935049" w:rsidP="00935049">
      <w:pPr>
        <w:numPr>
          <w:ilvl w:val="0"/>
          <w:numId w:val="1"/>
        </w:numPr>
      </w:pPr>
      <w:r w:rsidRPr="00935049">
        <w:rPr>
          <w:b/>
          <w:bCs/>
        </w:rPr>
        <w:t>Evaluation / Assessment Activities</w:t>
      </w:r>
      <w:r w:rsidRPr="00935049">
        <w:t xml:space="preserve"> </w:t>
      </w:r>
    </w:p>
    <w:p w14:paraId="52475174" w14:textId="77777777" w:rsidR="00935049" w:rsidRPr="00935049" w:rsidRDefault="00935049" w:rsidP="00935049">
      <w:pPr>
        <w:numPr>
          <w:ilvl w:val="1"/>
          <w:numId w:val="1"/>
        </w:numPr>
      </w:pPr>
      <w:r w:rsidRPr="00935049">
        <w:t xml:space="preserve">Document review </w:t>
      </w:r>
    </w:p>
    <w:p w14:paraId="150C9FD7" w14:textId="77777777" w:rsidR="00935049" w:rsidRPr="00935049" w:rsidRDefault="00935049" w:rsidP="00935049">
      <w:pPr>
        <w:numPr>
          <w:ilvl w:val="1"/>
          <w:numId w:val="1"/>
        </w:numPr>
      </w:pPr>
      <w:r w:rsidRPr="00935049">
        <w:t xml:space="preserve">On-site assessment and verification activities </w:t>
      </w:r>
    </w:p>
    <w:p w14:paraId="205CC6A3" w14:textId="77777777" w:rsidR="00935049" w:rsidRPr="00935049" w:rsidRDefault="00935049" w:rsidP="00935049">
      <w:pPr>
        <w:numPr>
          <w:ilvl w:val="1"/>
          <w:numId w:val="1"/>
        </w:numPr>
      </w:pPr>
      <w:r w:rsidRPr="00935049">
        <w:t xml:space="preserve">Sampling and traceability evaluation </w:t>
      </w:r>
    </w:p>
    <w:p w14:paraId="223D124A" w14:textId="77777777" w:rsidR="00935049" w:rsidRPr="00935049" w:rsidRDefault="00935049" w:rsidP="00935049">
      <w:pPr>
        <w:numPr>
          <w:ilvl w:val="1"/>
          <w:numId w:val="1"/>
        </w:numPr>
      </w:pPr>
      <w:r w:rsidRPr="00935049">
        <w:t xml:space="preserve">Review of sustainability and GHG-related records </w:t>
      </w:r>
    </w:p>
    <w:p w14:paraId="1BF367C4" w14:textId="77777777" w:rsidR="00935049" w:rsidRPr="00935049" w:rsidRDefault="00935049" w:rsidP="00935049">
      <w:pPr>
        <w:numPr>
          <w:ilvl w:val="1"/>
          <w:numId w:val="1"/>
        </w:numPr>
      </w:pPr>
      <w:r w:rsidRPr="00935049">
        <w:t xml:space="preserve">Nonconformity management and corrective action verification </w:t>
      </w:r>
    </w:p>
    <w:p w14:paraId="63E09D99" w14:textId="77777777" w:rsidR="00935049" w:rsidRPr="00935049" w:rsidRDefault="00935049" w:rsidP="00935049">
      <w:pPr>
        <w:numPr>
          <w:ilvl w:val="0"/>
          <w:numId w:val="1"/>
        </w:numPr>
      </w:pPr>
      <w:r w:rsidRPr="00935049">
        <w:rPr>
          <w:b/>
          <w:bCs/>
        </w:rPr>
        <w:t>Certification / Verification Decision</w:t>
      </w:r>
      <w:r w:rsidRPr="00935049">
        <w:t xml:space="preserve"> </w:t>
      </w:r>
    </w:p>
    <w:p w14:paraId="3B0AD6CA" w14:textId="77777777" w:rsidR="00935049" w:rsidRPr="00935049" w:rsidRDefault="00935049" w:rsidP="00935049">
      <w:pPr>
        <w:numPr>
          <w:ilvl w:val="1"/>
          <w:numId w:val="1"/>
        </w:numPr>
      </w:pPr>
      <w:r w:rsidRPr="00935049">
        <w:t xml:space="preserve">Independent technical review </w:t>
      </w:r>
    </w:p>
    <w:p w14:paraId="29DEE5EA" w14:textId="77777777" w:rsidR="00935049" w:rsidRPr="00935049" w:rsidRDefault="00935049" w:rsidP="00935049">
      <w:pPr>
        <w:numPr>
          <w:ilvl w:val="1"/>
          <w:numId w:val="1"/>
        </w:numPr>
      </w:pPr>
      <w:r w:rsidRPr="00935049">
        <w:t xml:space="preserve">Certification decision based on evaluation results </w:t>
      </w:r>
    </w:p>
    <w:p w14:paraId="67271660" w14:textId="77777777" w:rsidR="00935049" w:rsidRPr="00935049" w:rsidRDefault="00935049" w:rsidP="00935049">
      <w:pPr>
        <w:numPr>
          <w:ilvl w:val="1"/>
          <w:numId w:val="1"/>
        </w:numPr>
      </w:pPr>
      <w:r w:rsidRPr="00935049">
        <w:t xml:space="preserve">Issuance of certificate/verification statement upon satisfactory compliance </w:t>
      </w:r>
    </w:p>
    <w:p w14:paraId="61924EF1" w14:textId="77777777" w:rsidR="00935049" w:rsidRPr="00935049" w:rsidRDefault="00935049" w:rsidP="00935049">
      <w:pPr>
        <w:numPr>
          <w:ilvl w:val="0"/>
          <w:numId w:val="1"/>
        </w:numPr>
      </w:pPr>
      <w:r w:rsidRPr="00935049">
        <w:rPr>
          <w:b/>
          <w:bCs/>
        </w:rPr>
        <w:t>Maintaining Certification</w:t>
      </w:r>
      <w:r w:rsidRPr="00935049">
        <w:t xml:space="preserve"> </w:t>
      </w:r>
    </w:p>
    <w:p w14:paraId="44EB6D3C" w14:textId="77777777" w:rsidR="00935049" w:rsidRPr="00935049" w:rsidRDefault="00935049" w:rsidP="00935049">
      <w:pPr>
        <w:numPr>
          <w:ilvl w:val="1"/>
          <w:numId w:val="1"/>
        </w:numPr>
      </w:pPr>
      <w:r w:rsidRPr="00935049">
        <w:t xml:space="preserve">Periodic surveillance and monitoring activities </w:t>
      </w:r>
    </w:p>
    <w:p w14:paraId="16CA700A" w14:textId="77777777" w:rsidR="00935049" w:rsidRPr="00935049" w:rsidRDefault="00935049" w:rsidP="00935049">
      <w:pPr>
        <w:numPr>
          <w:ilvl w:val="1"/>
          <w:numId w:val="1"/>
        </w:numPr>
      </w:pPr>
      <w:r w:rsidRPr="00935049">
        <w:t xml:space="preserve">Review of continued compliance with ISCC CORSIA requirements </w:t>
      </w:r>
    </w:p>
    <w:p w14:paraId="6F38EFEB" w14:textId="77777777" w:rsidR="00935049" w:rsidRPr="00935049" w:rsidRDefault="00935049" w:rsidP="00935049">
      <w:pPr>
        <w:numPr>
          <w:ilvl w:val="1"/>
          <w:numId w:val="1"/>
        </w:numPr>
      </w:pPr>
      <w:r w:rsidRPr="00935049">
        <w:t xml:space="preserve">Management of changes impacting certification status </w:t>
      </w:r>
    </w:p>
    <w:p w14:paraId="765904BA" w14:textId="77777777" w:rsidR="00935049" w:rsidRPr="00935049" w:rsidRDefault="00935049" w:rsidP="00935049">
      <w:pPr>
        <w:numPr>
          <w:ilvl w:val="0"/>
          <w:numId w:val="1"/>
        </w:numPr>
      </w:pPr>
      <w:r w:rsidRPr="00935049">
        <w:rPr>
          <w:b/>
          <w:bCs/>
        </w:rPr>
        <w:t>Extension or Reduction of Scope</w:t>
      </w:r>
      <w:r w:rsidRPr="00935049">
        <w:t xml:space="preserve"> </w:t>
      </w:r>
    </w:p>
    <w:p w14:paraId="5017453C" w14:textId="77777777" w:rsidR="00935049" w:rsidRPr="00935049" w:rsidRDefault="00935049" w:rsidP="00935049">
      <w:pPr>
        <w:numPr>
          <w:ilvl w:val="1"/>
          <w:numId w:val="1"/>
        </w:numPr>
      </w:pPr>
      <w:r w:rsidRPr="00935049">
        <w:t xml:space="preserve">Clients may request extension or reduction of certification scope </w:t>
      </w:r>
    </w:p>
    <w:p w14:paraId="27C7FDC4" w14:textId="77777777" w:rsidR="00935049" w:rsidRPr="00935049" w:rsidRDefault="00935049" w:rsidP="00935049">
      <w:pPr>
        <w:numPr>
          <w:ilvl w:val="1"/>
          <w:numId w:val="1"/>
        </w:numPr>
      </w:pPr>
      <w:r w:rsidRPr="00935049">
        <w:t xml:space="preserve">Additional evaluation activities may be conducted, where applicable </w:t>
      </w:r>
    </w:p>
    <w:p w14:paraId="3E5F226B" w14:textId="77777777" w:rsidR="00935049" w:rsidRPr="00935049" w:rsidRDefault="00935049" w:rsidP="00935049">
      <w:pPr>
        <w:numPr>
          <w:ilvl w:val="1"/>
          <w:numId w:val="1"/>
        </w:numPr>
      </w:pPr>
      <w:r w:rsidRPr="00935049">
        <w:lastRenderedPageBreak/>
        <w:t xml:space="preserve">Decisions are based on demonstrated compliance with relevant requirements </w:t>
      </w:r>
    </w:p>
    <w:p w14:paraId="62B83105" w14:textId="77777777" w:rsidR="00935049" w:rsidRPr="00935049" w:rsidRDefault="00935049" w:rsidP="00935049">
      <w:pPr>
        <w:numPr>
          <w:ilvl w:val="0"/>
          <w:numId w:val="1"/>
        </w:numPr>
      </w:pPr>
      <w:r w:rsidRPr="00935049">
        <w:rPr>
          <w:b/>
          <w:bCs/>
        </w:rPr>
        <w:t>Suspension, Withdrawal or Refusal</w:t>
      </w:r>
      <w:r w:rsidRPr="00935049">
        <w:br/>
        <w:t xml:space="preserve">Certification may be suspended, withdrawn, or refused in cases including but not limited to: </w:t>
      </w:r>
    </w:p>
    <w:p w14:paraId="4F3D77F7" w14:textId="77777777" w:rsidR="00935049" w:rsidRPr="00935049" w:rsidRDefault="00935049" w:rsidP="00935049">
      <w:pPr>
        <w:numPr>
          <w:ilvl w:val="1"/>
          <w:numId w:val="1"/>
        </w:numPr>
      </w:pPr>
      <w:r w:rsidRPr="00935049">
        <w:t xml:space="preserve">Non-fulfilment of ISCC CORSIA requirements </w:t>
      </w:r>
    </w:p>
    <w:p w14:paraId="04300ED5" w14:textId="77777777" w:rsidR="00935049" w:rsidRPr="00935049" w:rsidRDefault="00935049" w:rsidP="00935049">
      <w:pPr>
        <w:numPr>
          <w:ilvl w:val="1"/>
          <w:numId w:val="1"/>
        </w:numPr>
      </w:pPr>
      <w:r w:rsidRPr="00935049">
        <w:t xml:space="preserve">Misuse of certificates or claims </w:t>
      </w:r>
    </w:p>
    <w:p w14:paraId="42B5BB86" w14:textId="77777777" w:rsidR="00935049" w:rsidRPr="00935049" w:rsidRDefault="00935049" w:rsidP="00935049">
      <w:pPr>
        <w:numPr>
          <w:ilvl w:val="1"/>
          <w:numId w:val="1"/>
        </w:numPr>
      </w:pPr>
      <w:r w:rsidRPr="00935049">
        <w:t xml:space="preserve">Failure to implement corrective actions </w:t>
      </w:r>
    </w:p>
    <w:p w14:paraId="50E7DBB8" w14:textId="77777777" w:rsidR="00935049" w:rsidRPr="00935049" w:rsidRDefault="00935049" w:rsidP="00935049">
      <w:pPr>
        <w:numPr>
          <w:ilvl w:val="1"/>
          <w:numId w:val="1"/>
        </w:numPr>
      </w:pPr>
      <w:r w:rsidRPr="00935049">
        <w:t xml:space="preserve">Non-payment or contractual violations </w:t>
      </w:r>
    </w:p>
    <w:p w14:paraId="69E50C17" w14:textId="77777777" w:rsidR="00935049" w:rsidRPr="00935049" w:rsidRDefault="00935049" w:rsidP="00935049">
      <w:pPr>
        <w:numPr>
          <w:ilvl w:val="1"/>
          <w:numId w:val="1"/>
        </w:numPr>
      </w:pPr>
      <w:r w:rsidRPr="00935049">
        <w:t xml:space="preserve">Voluntary request by the client </w:t>
      </w:r>
    </w:p>
    <w:p w14:paraId="130DBDED" w14:textId="77777777" w:rsidR="00935049" w:rsidRPr="00935049" w:rsidRDefault="00935049" w:rsidP="00935049">
      <w:pPr>
        <w:numPr>
          <w:ilvl w:val="0"/>
          <w:numId w:val="1"/>
        </w:numPr>
      </w:pPr>
      <w:r w:rsidRPr="00935049">
        <w:rPr>
          <w:b/>
          <w:bCs/>
        </w:rPr>
        <w:t>Appeals and Complaints</w:t>
      </w:r>
      <w:r w:rsidRPr="00935049">
        <w:br/>
        <w:t xml:space="preserve">TÜV India maintains documented procedures for handling appeals, complaints, and disputes impartially and confidentially. </w:t>
      </w:r>
    </w:p>
    <w:p w14:paraId="113BF256" w14:textId="77777777" w:rsidR="00935049" w:rsidRPr="00935049" w:rsidRDefault="00935049" w:rsidP="00935049">
      <w:r w:rsidRPr="00935049">
        <w:t>For detailed procedures related to suspension and withdrawal of certification, please refer to the applicable TÜV India certification procedures and policies.</w:t>
      </w:r>
    </w:p>
    <w:p w14:paraId="714D5404" w14:textId="77777777" w:rsidR="005D6EF3" w:rsidRDefault="005D6EF3"/>
    <w:sectPr w:rsidR="005D6EF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AF83B" w14:textId="77777777" w:rsidR="005F25B0" w:rsidRDefault="005F25B0" w:rsidP="00075F4C">
      <w:pPr>
        <w:spacing w:after="0" w:line="240" w:lineRule="auto"/>
      </w:pPr>
      <w:r>
        <w:separator/>
      </w:r>
    </w:p>
  </w:endnote>
  <w:endnote w:type="continuationSeparator" w:id="0">
    <w:p w14:paraId="343A48AA" w14:textId="77777777" w:rsidR="005F25B0" w:rsidRDefault="005F25B0" w:rsidP="00075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5B537" w14:textId="77777777" w:rsidR="005F25B0" w:rsidRDefault="005F25B0" w:rsidP="00075F4C">
      <w:pPr>
        <w:spacing w:after="0" w:line="240" w:lineRule="auto"/>
      </w:pPr>
      <w:r>
        <w:separator/>
      </w:r>
    </w:p>
  </w:footnote>
  <w:footnote w:type="continuationSeparator" w:id="0">
    <w:p w14:paraId="36706C2A" w14:textId="77777777" w:rsidR="005F25B0" w:rsidRDefault="005F25B0" w:rsidP="00075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600E8" w14:textId="04190204" w:rsidR="00075F4C" w:rsidRDefault="00075F4C">
    <w:pPr>
      <w:pStyle w:val="Header"/>
    </w:pPr>
    <w:r w:rsidRPr="00A150F7">
      <w:rPr>
        <w:noProof/>
        <w:lang w:eastAsia="en-IN"/>
      </w:rPr>
      <w:drawing>
        <wp:inline distT="0" distB="0" distL="0" distR="0" wp14:anchorId="4E6F0821" wp14:editId="1497A811">
          <wp:extent cx="1393200" cy="216000"/>
          <wp:effectExtent l="0" t="0" r="0" b="0"/>
          <wp:docPr id="1207434696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200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961A3"/>
    <w:multiLevelType w:val="multilevel"/>
    <w:tmpl w:val="08168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1667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93"/>
    <w:rsid w:val="00075F4C"/>
    <w:rsid w:val="00084C46"/>
    <w:rsid w:val="005D6EF3"/>
    <w:rsid w:val="005F25B0"/>
    <w:rsid w:val="008A7ED7"/>
    <w:rsid w:val="00935049"/>
    <w:rsid w:val="009C2A93"/>
    <w:rsid w:val="00E32570"/>
    <w:rsid w:val="00F3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20AED"/>
  <w15:chartTrackingRefBased/>
  <w15:docId w15:val="{F7184DFC-0DE3-4C67-B241-E4E0B858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A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A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A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A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A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A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A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A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A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A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A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2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A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A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2A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A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A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5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F4C"/>
  </w:style>
  <w:style w:type="paragraph" w:styleId="Footer">
    <w:name w:val="footer"/>
    <w:basedOn w:val="Normal"/>
    <w:link w:val="FooterChar"/>
    <w:uiPriority w:val="99"/>
    <w:unhideWhenUsed/>
    <w:rsid w:val="00075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edf8108-b7c8-48ff-95ac-3d1134597231}" enabled="0" method="" siteId="{6edf8108-b7c8-48ff-95ac-3d11345972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Mantri, Sandhya</dc:creator>
  <cp:keywords/>
  <dc:description/>
  <cp:lastModifiedBy>Mantri, Sandhya</cp:lastModifiedBy>
  <cp:revision>2</cp:revision>
  <dcterms:created xsi:type="dcterms:W3CDTF">2026-06-18T09:52:00Z</dcterms:created>
  <dcterms:modified xsi:type="dcterms:W3CDTF">2026-06-18T09:52:00Z</dcterms:modified>
</cp:coreProperties>
</file>