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E6" w:rsidRDefault="001276B2" w:rsidP="003505E6">
      <w:pPr>
        <w:spacing w:before="120"/>
        <w:rPr>
          <w:b/>
          <w:sz w:val="24"/>
          <w:lang w:val="en-GB"/>
        </w:rPr>
      </w:pPr>
      <w:r w:rsidRPr="00E40012">
        <w:rPr>
          <w:b/>
          <w:sz w:val="24"/>
          <w:lang w:val="en-GB"/>
        </w:rPr>
        <w:t xml:space="preserve">Attachment </w:t>
      </w:r>
      <w:r w:rsidR="00657AC2">
        <w:rPr>
          <w:b/>
          <w:sz w:val="24"/>
          <w:lang w:val="en-GB"/>
        </w:rPr>
        <w:t xml:space="preserve">02 </w:t>
      </w:r>
    </w:p>
    <w:p w:rsidR="00950F9D" w:rsidRPr="003505E6" w:rsidRDefault="001276B2" w:rsidP="003505E6">
      <w:pPr>
        <w:spacing w:before="120"/>
        <w:rPr>
          <w:b/>
          <w:szCs w:val="24"/>
          <w:lang w:val="en-GB"/>
        </w:rPr>
      </w:pPr>
      <w:proofErr w:type="gramStart"/>
      <w:r w:rsidRPr="003505E6">
        <w:rPr>
          <w:b/>
          <w:szCs w:val="24"/>
          <w:lang w:val="en-GB"/>
        </w:rPr>
        <w:t>to</w:t>
      </w:r>
      <w:proofErr w:type="gramEnd"/>
      <w:r w:rsidRPr="003505E6">
        <w:rPr>
          <w:b/>
          <w:szCs w:val="24"/>
          <w:lang w:val="en-GB"/>
        </w:rPr>
        <w:t xml:space="preserve"> TUEV NORD</w:t>
      </w:r>
      <w:r w:rsidR="00DC71B1" w:rsidRPr="003505E6">
        <w:rPr>
          <w:b/>
          <w:szCs w:val="24"/>
          <w:lang w:val="en-GB"/>
        </w:rPr>
        <w:t xml:space="preserve"> CERT f</w:t>
      </w:r>
      <w:r w:rsidRPr="003505E6">
        <w:rPr>
          <w:b/>
          <w:szCs w:val="24"/>
          <w:lang w:val="en-GB"/>
        </w:rPr>
        <w:t>orm A13F010</w:t>
      </w:r>
      <w:r w:rsidR="003505E6" w:rsidRPr="003505E6">
        <w:rPr>
          <w:b/>
          <w:szCs w:val="24"/>
          <w:lang w:val="en-GB"/>
        </w:rPr>
        <w:t xml:space="preserve"> (</w:t>
      </w:r>
      <w:r w:rsidR="003505E6">
        <w:rPr>
          <w:b/>
          <w:szCs w:val="24"/>
          <w:lang w:val="en-GB"/>
        </w:rPr>
        <w:t>“</w:t>
      </w:r>
      <w:r w:rsidRPr="003505E6">
        <w:rPr>
          <w:b/>
          <w:szCs w:val="24"/>
          <w:lang w:val="en-GB"/>
        </w:rPr>
        <w:t>Questionnaire for preparation for an audit according to automotive standards</w:t>
      </w:r>
      <w:r w:rsidR="003505E6">
        <w:rPr>
          <w:b/>
          <w:szCs w:val="24"/>
          <w:lang w:val="en-GB"/>
        </w:rPr>
        <w:t>”</w:t>
      </w:r>
      <w:r w:rsidR="00A75DA6" w:rsidRPr="003505E6">
        <w:rPr>
          <w:b/>
          <w:szCs w:val="24"/>
          <w:lang w:val="en-GB"/>
        </w:rPr>
        <w:t>)</w:t>
      </w:r>
    </w:p>
    <w:tbl>
      <w:tblPr>
        <w:tblStyle w:val="Tabellengitternetz"/>
        <w:tblW w:w="10206" w:type="dxa"/>
        <w:tblInd w:w="68" w:type="dxa"/>
        <w:tblLayout w:type="fixed"/>
        <w:tblLook w:val="04A0"/>
      </w:tblPr>
      <w:tblGrid>
        <w:gridCol w:w="749"/>
        <w:gridCol w:w="3522"/>
        <w:gridCol w:w="608"/>
        <w:gridCol w:w="406"/>
        <w:gridCol w:w="102"/>
        <w:gridCol w:w="708"/>
        <w:gridCol w:w="497"/>
        <w:gridCol w:w="62"/>
        <w:gridCol w:w="49"/>
        <w:gridCol w:w="283"/>
        <w:gridCol w:w="284"/>
        <w:gridCol w:w="141"/>
        <w:gridCol w:w="851"/>
        <w:gridCol w:w="1944"/>
      </w:tblGrid>
      <w:tr w:rsidR="008C4A4F" w:rsidRPr="0070048A" w:rsidTr="00F02882">
        <w:trPr>
          <w:tblHeader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C4A4F" w:rsidRPr="00411367" w:rsidRDefault="008C4A4F" w:rsidP="001E79BD">
            <w:pPr>
              <w:tabs>
                <w:tab w:val="num" w:pos="1440"/>
              </w:tabs>
              <w:spacing w:before="120" w:after="120"/>
              <w:jc w:val="center"/>
              <w:rPr>
                <w:b/>
                <w:lang w:val="en-US"/>
              </w:rPr>
            </w:pPr>
            <w:bookmarkStart w:id="0" w:name="OLE_LINK1"/>
            <w:bookmarkStart w:id="1" w:name="OLE_LINK2"/>
            <w:r>
              <w:rPr>
                <w:b/>
                <w:lang w:val="en-US"/>
              </w:rPr>
              <w:t>#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8C4A4F" w:rsidRPr="0070048A" w:rsidRDefault="008C4A4F" w:rsidP="001E79BD">
            <w:pPr>
              <w:tabs>
                <w:tab w:val="num" w:pos="1440"/>
              </w:tabs>
              <w:spacing w:before="120" w:after="120"/>
              <w:rPr>
                <w:b/>
                <w:lang w:val="en-US"/>
              </w:rPr>
            </w:pPr>
            <w:r w:rsidRPr="0070048A">
              <w:rPr>
                <w:b/>
                <w:lang w:val="en-US"/>
              </w:rPr>
              <w:t>Question</w:t>
            </w: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A4F" w:rsidRPr="00411367" w:rsidRDefault="008C4A4F" w:rsidP="001E79BD">
            <w:pPr>
              <w:tabs>
                <w:tab w:val="num" w:pos="1440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</w:tc>
        <w:tc>
          <w:tcPr>
            <w:tcW w:w="3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4A4F" w:rsidRPr="00411367" w:rsidRDefault="00F02882" w:rsidP="008C4A4F">
            <w:pPr>
              <w:tabs>
                <w:tab w:val="num" w:pos="1440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411367">
              <w:rPr>
                <w:b/>
                <w:lang w:val="en-US"/>
              </w:rPr>
              <w:t>C</w:t>
            </w:r>
            <w:r w:rsidR="008C4A4F" w:rsidRPr="00411367">
              <w:rPr>
                <w:b/>
                <w:lang w:val="en-US"/>
              </w:rPr>
              <w:t>omment</w:t>
            </w:r>
            <w:r w:rsidRPr="00922C99">
              <w:rPr>
                <w:sz w:val="16"/>
                <w:lang w:val="en-US"/>
              </w:rPr>
              <w:t xml:space="preserve"> (if any)</w:t>
            </w:r>
          </w:p>
        </w:tc>
      </w:tr>
      <w:tr w:rsidR="003F0727" w:rsidRPr="001E79BD" w:rsidTr="00F02882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0727" w:rsidRPr="001E79BD" w:rsidRDefault="003F0727" w:rsidP="001E79BD">
            <w:pPr>
              <w:tabs>
                <w:tab w:val="left" w:pos="1985"/>
              </w:tabs>
              <w:rPr>
                <w:sz w:val="12"/>
                <w:lang w:val="en-GB"/>
              </w:rPr>
            </w:pPr>
          </w:p>
        </w:tc>
      </w:tr>
      <w:tr w:rsidR="008C4A4F" w:rsidRPr="00E16BD7" w:rsidTr="00F02882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Default="008C4A4F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Pr="00C161F5" w:rsidRDefault="008C4A4F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Have means / approaches of how to fulfil the revised / new Requirements of IATF 16949 been implemented in the QM-System documentation (e.g. QM-Manual, Process description, procedures, instructions)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A4F" w:rsidRPr="00C161F5" w:rsidRDefault="008C4A4F" w:rsidP="0070048A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 w:rsidRPr="00411367">
              <w:rPr>
                <w:lang w:val="en-GB"/>
              </w:rPr>
              <w:t>no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A4F" w:rsidRPr="004E4A00" w:rsidRDefault="008C4A4F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4F" w:rsidRPr="004E4A00" w:rsidRDefault="008C4A4F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E16BD7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4E4A00" w:rsidRDefault="003F0727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A33AE3" w:rsidRPr="00E16BD7" w:rsidTr="007D0CD0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AE3" w:rsidRDefault="00A33AE3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AE3" w:rsidRPr="00DC71B1" w:rsidRDefault="00A33AE3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When has the update of the QM-System documentation been fina</w:t>
            </w:r>
            <w:r>
              <w:rPr>
                <w:lang w:val="en-GB"/>
              </w:rPr>
              <w:t>l</w:t>
            </w:r>
            <w:r>
              <w:rPr>
                <w:lang w:val="en-GB"/>
              </w:rPr>
              <w:t>ized?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E3" w:rsidRPr="00C161F5" w:rsidRDefault="007D0CD0" w:rsidP="0070048A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 w:rsidRPr="007D0CD0">
              <w:rPr>
                <w:lang w:val="en-GB"/>
              </w:rPr>
              <w:t>Date</w:t>
            </w:r>
            <w:r>
              <w:rPr>
                <w:lang w:val="en-GB"/>
              </w:rPr>
              <w:t>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E3" w:rsidRPr="004E4A00" w:rsidRDefault="00A33AE3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E3" w:rsidRPr="004E4A00" w:rsidRDefault="00A33AE3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E3" w:rsidRPr="004E4A00" w:rsidRDefault="00A33AE3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E16BD7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4E4A00" w:rsidRDefault="003F0727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A33AE3" w:rsidRPr="00E16BD7" w:rsidTr="007D0CD0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AE3" w:rsidRDefault="00A33AE3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AE3" w:rsidRPr="00C161F5" w:rsidRDefault="00A33AE3" w:rsidP="00A33AE3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When has the revised QM-System documentation been released by Top Management</w:t>
            </w:r>
            <w:r w:rsidR="003505E6">
              <w:rPr>
                <w:lang w:val="en-GB"/>
              </w:rPr>
              <w:t>?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E3" w:rsidRPr="007D0CD0" w:rsidRDefault="007D0CD0" w:rsidP="0070048A">
            <w:pPr>
              <w:tabs>
                <w:tab w:val="left" w:pos="1985"/>
              </w:tabs>
              <w:spacing w:before="60" w:after="60"/>
              <w:jc w:val="right"/>
              <w:rPr>
                <w:sz w:val="16"/>
                <w:lang w:val="en-GB"/>
              </w:rPr>
            </w:pPr>
            <w:r w:rsidRPr="007D0CD0">
              <w:rPr>
                <w:lang w:val="en-GB"/>
              </w:rPr>
              <w:t>Date</w:t>
            </w:r>
            <w:r>
              <w:rPr>
                <w:lang w:val="en-GB"/>
              </w:rPr>
              <w:t>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E3" w:rsidRPr="00411367" w:rsidRDefault="00A33AE3" w:rsidP="00F426EB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E3" w:rsidRPr="004E4A00" w:rsidRDefault="00A33AE3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E3" w:rsidRPr="004E4A00" w:rsidRDefault="00A33AE3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E16BD7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4E4A00" w:rsidRDefault="003F0727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8C4A4F" w:rsidRPr="00E16BD7" w:rsidTr="00F02882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Default="008C4A4F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Default="008C4A4F" w:rsidP="003505E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Have In</w:t>
            </w:r>
            <w:r w:rsidR="003505E6">
              <w:rPr>
                <w:lang w:val="en-GB"/>
              </w:rPr>
              <w:t xml:space="preserve">ternal Auditors been qualified for </w:t>
            </w:r>
            <w:r>
              <w:rPr>
                <w:lang w:val="en-GB"/>
              </w:rPr>
              <w:t>1</w:t>
            </w:r>
            <w:r w:rsidRPr="00657AC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/ 2</w:t>
            </w:r>
            <w:r w:rsidRPr="00657AC2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party audit</w:t>
            </w:r>
            <w:r w:rsidR="00823E95">
              <w:rPr>
                <w:lang w:val="en-GB"/>
              </w:rPr>
              <w:t>s</w:t>
            </w:r>
            <w:r>
              <w:rPr>
                <w:lang w:val="en-GB"/>
              </w:rPr>
              <w:t xml:space="preserve"> on IATF 16949?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A4F" w:rsidRPr="00C161F5" w:rsidRDefault="008C4A4F" w:rsidP="0070048A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 w:rsidRPr="00411367">
              <w:rPr>
                <w:lang w:val="en-GB"/>
              </w:rPr>
              <w:t>no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A4F" w:rsidRPr="004E4A00" w:rsidRDefault="008C4A4F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4F" w:rsidRPr="004E4A00" w:rsidRDefault="008C4A4F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E16BD7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4E4A00" w:rsidRDefault="003F0727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A33AE3" w:rsidRPr="00E16BD7" w:rsidTr="00A33AE3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AE3" w:rsidRDefault="00A33AE3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AE3" w:rsidRDefault="00A33AE3" w:rsidP="003505E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How many </w:t>
            </w:r>
            <w:r w:rsidR="003505E6">
              <w:rPr>
                <w:lang w:val="en-GB"/>
              </w:rPr>
              <w:t>i</w:t>
            </w:r>
            <w:r>
              <w:rPr>
                <w:lang w:val="en-GB"/>
              </w:rPr>
              <w:t>nternal Auditor</w:t>
            </w:r>
            <w:r w:rsidR="003505E6">
              <w:rPr>
                <w:lang w:val="en-GB"/>
              </w:rPr>
              <w:t>s</w:t>
            </w:r>
            <w:r>
              <w:rPr>
                <w:lang w:val="en-GB"/>
              </w:rPr>
              <w:t xml:space="preserve"> are qualified</w:t>
            </w:r>
            <w:r w:rsidR="001F49FD">
              <w:rPr>
                <w:lang w:val="en-GB"/>
              </w:rPr>
              <w:t xml:space="preserve"> </w:t>
            </w:r>
            <w:r w:rsidR="003505E6">
              <w:rPr>
                <w:lang w:val="en-GB"/>
              </w:rPr>
              <w:t xml:space="preserve">on IATF 16949 </w:t>
            </w:r>
            <w:r w:rsidR="001F49FD">
              <w:rPr>
                <w:lang w:val="en-GB"/>
              </w:rPr>
              <w:t>accordingly?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E3" w:rsidRPr="00C161F5" w:rsidRDefault="00A33AE3" w:rsidP="0070048A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E3" w:rsidRPr="004E4A00" w:rsidRDefault="00A33AE3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E3" w:rsidRPr="004E4A00" w:rsidRDefault="00A33AE3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E3" w:rsidRPr="004E4A00" w:rsidRDefault="00A33AE3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8C4A4F" w:rsidRPr="00E16BD7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4A4F" w:rsidRDefault="008C4A4F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4A4F" w:rsidRPr="00657AC2" w:rsidRDefault="008C4A4F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A4F" w:rsidRPr="004E4A00" w:rsidRDefault="008C4A4F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A33AE3" w:rsidRPr="00E16BD7" w:rsidTr="00A33AE3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AE3" w:rsidRDefault="00A33AE3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AE3" w:rsidRPr="00657AC2" w:rsidRDefault="00A33AE3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657AC2">
              <w:rPr>
                <w:lang w:val="en-GB"/>
              </w:rPr>
              <w:t>When was the qualification process finalized?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E3" w:rsidRPr="00C161F5" w:rsidRDefault="00A33AE3" w:rsidP="0070048A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E3" w:rsidRPr="004E4A00" w:rsidRDefault="00A33AE3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E3" w:rsidRPr="004E4A00" w:rsidRDefault="00A33AE3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E3" w:rsidRPr="004E4A00" w:rsidRDefault="00A33AE3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E16BD7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081E95" w:rsidRDefault="003F0727" w:rsidP="00137676">
            <w:pPr>
              <w:spacing w:before="60"/>
              <w:jc w:val="both"/>
              <w:rPr>
                <w:lang w:val="en-US"/>
              </w:rPr>
            </w:pPr>
          </w:p>
        </w:tc>
      </w:tr>
      <w:tr w:rsidR="003F0727" w:rsidRPr="00E16BD7" w:rsidTr="00A33AE3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727" w:rsidRPr="00E51102" w:rsidRDefault="003F0727" w:rsidP="003505E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When have internal (in minimum Delta-) Audits to verify effective i</w:t>
            </w:r>
            <w:r>
              <w:rPr>
                <w:lang w:val="en-GB"/>
              </w:rPr>
              <w:t>m</w:t>
            </w:r>
            <w:r>
              <w:rPr>
                <w:lang w:val="en-GB"/>
              </w:rPr>
              <w:t>plementation of the IATF 16949 r</w:t>
            </w:r>
            <w:r>
              <w:rPr>
                <w:lang w:val="en-GB"/>
              </w:rPr>
              <w:t>e</w:t>
            </w:r>
            <w:r>
              <w:rPr>
                <w:lang w:val="en-GB"/>
              </w:rPr>
              <w:t>quirem</w:t>
            </w:r>
            <w:r w:rsidR="003505E6">
              <w:rPr>
                <w:lang w:val="en-GB"/>
              </w:rPr>
              <w:t>ents</w:t>
            </w:r>
            <w:r>
              <w:rPr>
                <w:lang w:val="en-GB"/>
              </w:rPr>
              <w:t xml:space="preserve"> been conducted</w:t>
            </w:r>
            <w:r w:rsidR="003505E6">
              <w:rPr>
                <w:lang w:val="en-GB"/>
              </w:rPr>
              <w:t>?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E51102" w:rsidRDefault="00A33AE3" w:rsidP="0070048A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3F0727">
              <w:rPr>
                <w:lang w:val="en-GB"/>
              </w:rPr>
              <w:t>rom</w:t>
            </w:r>
            <w:r>
              <w:rPr>
                <w:lang w:val="en-GB"/>
              </w:rPr>
              <w:t>: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727" w:rsidRPr="00081E95" w:rsidRDefault="003F0727" w:rsidP="00F426EB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081E95" w:rsidRDefault="00A33AE3" w:rsidP="006E0772">
            <w:pPr>
              <w:spacing w:before="60"/>
              <w:ind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F0727">
              <w:rPr>
                <w:lang w:val="en-US"/>
              </w:rPr>
              <w:t>o</w:t>
            </w:r>
            <w:r>
              <w:rPr>
                <w:lang w:val="en-US"/>
              </w:rPr>
              <w:t>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727" w:rsidRPr="00081E95" w:rsidRDefault="003F0727" w:rsidP="00922C99">
            <w:pPr>
              <w:spacing w:before="60"/>
              <w:jc w:val="both"/>
              <w:rPr>
                <w:lang w:val="en-US"/>
              </w:rPr>
            </w:pPr>
          </w:p>
        </w:tc>
      </w:tr>
      <w:tr w:rsidR="003F0727" w:rsidRPr="00E16BD7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4E4A00" w:rsidRDefault="003F0727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8C4A4F" w:rsidRPr="00E16BD7" w:rsidTr="00F02882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Default="008C4A4F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Default="003505E6" w:rsidP="003505E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Is</w:t>
            </w:r>
            <w:r w:rsidR="008C4A4F">
              <w:rPr>
                <w:lang w:val="en-GB"/>
              </w:rPr>
              <w:t xml:space="preserve"> any </w:t>
            </w:r>
            <w:r>
              <w:rPr>
                <w:lang w:val="en-GB"/>
              </w:rPr>
              <w:t>Non-conformity</w:t>
            </w:r>
            <w:r w:rsidR="008C4A4F">
              <w:rPr>
                <w:lang w:val="en-GB"/>
              </w:rPr>
              <w:t xml:space="preserve"> observe</w:t>
            </w:r>
            <w:r>
              <w:rPr>
                <w:lang w:val="en-GB"/>
              </w:rPr>
              <w:t>d</w:t>
            </w:r>
            <w:r w:rsidR="008C4A4F">
              <w:rPr>
                <w:lang w:val="en-GB"/>
              </w:rPr>
              <w:t xml:space="preserve"> in the internal system audits</w:t>
            </w:r>
            <w:r>
              <w:rPr>
                <w:lang w:val="en-GB"/>
              </w:rPr>
              <w:t>,</w:t>
            </w:r>
            <w:r w:rsidR="008C4A4F">
              <w:rPr>
                <w:lang w:val="en-GB"/>
              </w:rPr>
              <w:t xml:space="preserve"> been closed?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A4F" w:rsidRPr="00C161F5" w:rsidRDefault="008C4A4F" w:rsidP="0070048A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 w:rsidRPr="00411367">
              <w:rPr>
                <w:lang w:val="en-GB"/>
              </w:rPr>
              <w:t>no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A4F" w:rsidRPr="004E4A00" w:rsidRDefault="008C4A4F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4F" w:rsidRPr="004E4A00" w:rsidRDefault="008C4A4F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E16BD7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081E95" w:rsidRDefault="003F0727" w:rsidP="0070048A">
            <w:pPr>
              <w:spacing w:before="60"/>
              <w:rPr>
                <w:lang w:val="en-US"/>
              </w:rPr>
            </w:pPr>
          </w:p>
        </w:tc>
      </w:tr>
      <w:tr w:rsidR="003F0727" w:rsidRPr="00E16BD7" w:rsidTr="003505E6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When has this been complete</w:t>
            </w:r>
            <w:r w:rsidR="00D3167A">
              <w:rPr>
                <w:lang w:val="en-GB"/>
              </w:rPr>
              <w:t>d</w:t>
            </w:r>
            <w:r>
              <w:rPr>
                <w:lang w:val="en-GB"/>
              </w:rPr>
              <w:t>?</w: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081E95" w:rsidRDefault="003F0727" w:rsidP="003505E6">
            <w:pPr>
              <w:tabs>
                <w:tab w:val="left" w:pos="1985"/>
              </w:tabs>
              <w:spacing w:before="60" w:after="60"/>
              <w:jc w:val="right"/>
              <w:rPr>
                <w:lang w:val="en-US"/>
              </w:rPr>
            </w:pPr>
            <w:r>
              <w:rPr>
                <w:lang w:val="en-GB"/>
              </w:rPr>
              <w:t>calendar week</w:t>
            </w:r>
            <w:r w:rsidR="003505E6">
              <w:rPr>
                <w:lang w:val="en-GB"/>
              </w:rPr>
              <w:t>/year:</w:t>
            </w:r>
          </w:p>
        </w:tc>
        <w:tc>
          <w:tcPr>
            <w:tcW w:w="3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727" w:rsidRPr="00081E95" w:rsidRDefault="003F0727" w:rsidP="0070048A">
            <w:pPr>
              <w:spacing w:before="60"/>
              <w:rPr>
                <w:lang w:val="en-US"/>
              </w:rPr>
            </w:pPr>
          </w:p>
        </w:tc>
      </w:tr>
      <w:tr w:rsidR="00F02882" w:rsidRPr="00E16BD7" w:rsidTr="00922C99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882" w:rsidRDefault="00F02882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882" w:rsidRDefault="00F02882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882" w:rsidRPr="00081E95" w:rsidRDefault="00F02882" w:rsidP="0070048A">
            <w:pPr>
              <w:spacing w:before="60"/>
              <w:rPr>
                <w:lang w:val="en-US"/>
              </w:rPr>
            </w:pPr>
          </w:p>
        </w:tc>
      </w:tr>
      <w:tr w:rsidR="008C4A4F" w:rsidRPr="00E16BD7" w:rsidTr="00F02882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Default="008C4A4F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Default="008C4A4F" w:rsidP="003505E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Has a Management Review to evaluate the effectiveness of (in minimum) the new / revised requir</w:t>
            </w:r>
            <w:r>
              <w:rPr>
                <w:lang w:val="en-GB"/>
              </w:rPr>
              <w:t>e</w:t>
            </w:r>
            <w:r>
              <w:rPr>
                <w:lang w:val="en-GB"/>
              </w:rPr>
              <w:t>ments of IATF 16949, been co</w:t>
            </w:r>
            <w:r>
              <w:rPr>
                <w:lang w:val="en-GB"/>
              </w:rPr>
              <w:t>n</w:t>
            </w:r>
            <w:r>
              <w:rPr>
                <w:lang w:val="en-GB"/>
              </w:rPr>
              <w:t>ducted?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A4F" w:rsidRPr="00C161F5" w:rsidRDefault="008C4A4F" w:rsidP="0070048A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 w:rsidRPr="00411367">
              <w:rPr>
                <w:lang w:val="en-GB"/>
              </w:rPr>
              <w:t>no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A4F" w:rsidRPr="004E4A00" w:rsidRDefault="008C4A4F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4F" w:rsidRPr="004E4A00" w:rsidRDefault="008C4A4F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E16BD7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081E95" w:rsidRDefault="003F0727" w:rsidP="0070048A">
            <w:pPr>
              <w:spacing w:before="60"/>
              <w:rPr>
                <w:lang w:val="en-US"/>
              </w:rPr>
            </w:pPr>
          </w:p>
        </w:tc>
      </w:tr>
      <w:tr w:rsidR="003F0727" w:rsidRPr="00E16BD7" w:rsidTr="003505E6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When has this been completed?</w: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70048A" w:rsidRDefault="003F0727" w:rsidP="0070048A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calendar week</w:t>
            </w:r>
            <w:r w:rsidR="003505E6">
              <w:rPr>
                <w:lang w:val="en-GB"/>
              </w:rPr>
              <w:t>/year:</w:t>
            </w:r>
          </w:p>
        </w:tc>
        <w:tc>
          <w:tcPr>
            <w:tcW w:w="3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727" w:rsidRPr="00081E95" w:rsidRDefault="003F0727" w:rsidP="0070048A">
            <w:pPr>
              <w:spacing w:before="60"/>
              <w:rPr>
                <w:lang w:val="en-US"/>
              </w:rPr>
            </w:pPr>
          </w:p>
        </w:tc>
      </w:tr>
      <w:tr w:rsidR="008C4A4F" w:rsidRPr="00E16BD7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4A4F" w:rsidRDefault="008C4A4F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4A4F" w:rsidRDefault="008C4A4F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A4F" w:rsidRPr="00081E95" w:rsidRDefault="008C4A4F" w:rsidP="0070048A">
            <w:pPr>
              <w:spacing w:before="60"/>
              <w:rPr>
                <w:lang w:val="en-US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A4F" w:rsidRPr="00081E95" w:rsidRDefault="008C4A4F" w:rsidP="0070048A">
            <w:pPr>
              <w:spacing w:before="60"/>
              <w:rPr>
                <w:lang w:val="en-US"/>
              </w:rPr>
            </w:pPr>
          </w:p>
        </w:tc>
      </w:tr>
      <w:tr w:rsidR="008C4A4F" w:rsidRPr="00E16BD7" w:rsidTr="00F02882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Default="008C4A4F" w:rsidP="001E79B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Default="003505E6" w:rsidP="003505E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3505E6">
              <w:rPr>
                <w:lang w:val="en-GB"/>
              </w:rPr>
              <w:t>Are observations from Management Review preventing the company to move on with Transition audit / Cert</w:t>
            </w:r>
            <w:r w:rsidRPr="003505E6">
              <w:rPr>
                <w:lang w:val="en-GB"/>
              </w:rPr>
              <w:t>i</w:t>
            </w:r>
            <w:r w:rsidRPr="003505E6">
              <w:rPr>
                <w:lang w:val="en-GB"/>
              </w:rPr>
              <w:t>fication Process?</w:t>
            </w:r>
            <w:r w:rsidR="008C4A4F">
              <w:rPr>
                <w:lang w:val="en-GB"/>
              </w:rPr>
              <w:t>?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A4F" w:rsidRPr="00C161F5" w:rsidRDefault="008C4A4F" w:rsidP="0070048A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F426EB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 w:rsidRPr="00411367">
              <w:rPr>
                <w:lang w:val="en-GB"/>
              </w:rPr>
              <w:t>no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081E95" w:rsidRDefault="008C4A4F" w:rsidP="00F426EB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A4F" w:rsidRPr="004E4A00" w:rsidRDefault="008C4A4F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4F" w:rsidRPr="004E4A00" w:rsidRDefault="008C4A4F" w:rsidP="004E4A0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E16BD7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Pr="00E50145" w:rsidRDefault="003F0727" w:rsidP="001E79BD">
            <w:pPr>
              <w:spacing w:before="6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Pr="00E50145" w:rsidRDefault="003F0727" w:rsidP="001E79BD">
            <w:pPr>
              <w:tabs>
                <w:tab w:val="left" w:pos="1985"/>
              </w:tabs>
              <w:spacing w:before="60" w:after="60"/>
              <w:rPr>
                <w:color w:val="0070C0"/>
                <w:highlight w:val="yellow"/>
                <w:lang w:val="en-US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4E4A00" w:rsidRDefault="003F0727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8C4A4F" w:rsidRPr="00E16BD7" w:rsidTr="00F02882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Pr="00137676" w:rsidRDefault="008C4A4F" w:rsidP="001E79BD">
            <w:pPr>
              <w:spacing w:before="60"/>
              <w:jc w:val="center"/>
              <w:rPr>
                <w:lang w:val="en-US"/>
              </w:rPr>
            </w:pPr>
            <w:r w:rsidRPr="00137676">
              <w:rPr>
                <w:lang w:val="en-US"/>
              </w:rPr>
              <w:t>5.1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Pr="00137676" w:rsidRDefault="002E2F20" w:rsidP="003505E6">
            <w:pPr>
              <w:tabs>
                <w:tab w:val="left" w:pos="1985"/>
              </w:tabs>
              <w:spacing w:before="60" w:after="240"/>
              <w:rPr>
                <w:lang w:val="en-US"/>
              </w:rPr>
            </w:pPr>
            <w:r>
              <w:rPr>
                <w:lang w:val="en-US"/>
              </w:rPr>
              <w:t>Are</w:t>
            </w:r>
            <w:r w:rsidR="008C4A4F" w:rsidRPr="00137676">
              <w:rPr>
                <w:lang w:val="en-US"/>
              </w:rPr>
              <w:t xml:space="preserve"> there remote functions resp. remote locations</w:t>
            </w:r>
            <w:r>
              <w:rPr>
                <w:lang w:val="en-US"/>
              </w:rPr>
              <w:t xml:space="preserve"> supporting the site(s)</w:t>
            </w:r>
            <w:r w:rsidR="008C4A4F" w:rsidRPr="00137676">
              <w:rPr>
                <w:lang w:val="en-US"/>
              </w:rPr>
              <w:t>?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A4F" w:rsidRPr="00C161F5" w:rsidRDefault="008C4A4F" w:rsidP="00137676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 w:rsidRPr="00411367">
              <w:rPr>
                <w:lang w:val="en-GB"/>
              </w:rPr>
              <w:t>no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A4F" w:rsidRPr="004E4A00" w:rsidRDefault="008C4A4F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4F" w:rsidRPr="004E4A00" w:rsidRDefault="008C4A4F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E16BD7" w:rsidTr="00F02882">
        <w:trPr>
          <w:trHeight w:val="370"/>
        </w:trPr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Pr="00E50145" w:rsidRDefault="003F0727" w:rsidP="001E79BD">
            <w:pPr>
              <w:spacing w:before="6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Pr="00E50145" w:rsidRDefault="003F0727" w:rsidP="001E79BD">
            <w:pPr>
              <w:tabs>
                <w:tab w:val="left" w:pos="1985"/>
              </w:tabs>
              <w:spacing w:before="60" w:after="60"/>
              <w:rPr>
                <w:highlight w:val="yellow"/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882" w:rsidRPr="004E4A00" w:rsidRDefault="00F02882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8C4A4F" w:rsidRPr="00E16BD7" w:rsidTr="00F02882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Pr="00137676" w:rsidRDefault="008C4A4F" w:rsidP="001E79BD">
            <w:pPr>
              <w:spacing w:before="60"/>
              <w:jc w:val="center"/>
              <w:rPr>
                <w:lang w:val="en-US"/>
              </w:rPr>
            </w:pPr>
            <w:r w:rsidRPr="00137676">
              <w:rPr>
                <w:lang w:val="en-US"/>
              </w:rPr>
              <w:lastRenderedPageBreak/>
              <w:t>5.2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Pr="00137676" w:rsidRDefault="008C4A4F" w:rsidP="003505E6">
            <w:pPr>
              <w:tabs>
                <w:tab w:val="left" w:pos="1985"/>
              </w:tabs>
              <w:spacing w:before="60" w:after="60"/>
              <w:rPr>
                <w:lang w:val="en-US"/>
              </w:rPr>
            </w:pPr>
            <w:r w:rsidRPr="00137676">
              <w:rPr>
                <w:lang w:val="en-US"/>
              </w:rPr>
              <w:t xml:space="preserve">Are </w:t>
            </w:r>
            <w:r w:rsidR="003444EE">
              <w:rPr>
                <w:lang w:val="en-US"/>
              </w:rPr>
              <w:t xml:space="preserve">there </w:t>
            </w:r>
            <w:r w:rsidRPr="00137676">
              <w:rPr>
                <w:lang w:val="en-US"/>
              </w:rPr>
              <w:t>remote locations already audited to IATF 16949:2016 by T</w:t>
            </w:r>
            <w:r w:rsidR="003505E6">
              <w:rPr>
                <w:lang w:val="en-US"/>
              </w:rPr>
              <w:t>UEV</w:t>
            </w:r>
            <w:r w:rsidRPr="00137676">
              <w:rPr>
                <w:lang w:val="en-US"/>
              </w:rPr>
              <w:t xml:space="preserve"> NORD CERT?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A4F" w:rsidRPr="00C161F5" w:rsidRDefault="008C4A4F" w:rsidP="00137676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 w:rsidRPr="00411367">
              <w:rPr>
                <w:lang w:val="en-GB"/>
              </w:rPr>
              <w:t>no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A4F" w:rsidRPr="004E4A00" w:rsidRDefault="008C4A4F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4F" w:rsidRPr="004E4A00" w:rsidRDefault="008C4A4F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E16BD7" w:rsidTr="00F02882">
        <w:trPr>
          <w:trHeight w:val="414"/>
        </w:trPr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Pr="00E50145" w:rsidRDefault="003F0727" w:rsidP="001E79BD">
            <w:pPr>
              <w:spacing w:before="6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Pr="00E50145" w:rsidRDefault="003F0727" w:rsidP="001E79BD">
            <w:pPr>
              <w:tabs>
                <w:tab w:val="left" w:pos="1985"/>
              </w:tabs>
              <w:spacing w:before="60" w:after="60"/>
              <w:rPr>
                <w:highlight w:val="yellow"/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4E4A00" w:rsidRDefault="003F0727" w:rsidP="00137676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</w:p>
        </w:tc>
      </w:tr>
      <w:tr w:rsidR="008C4A4F" w:rsidRPr="00E16BD7" w:rsidTr="00F02882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Pr="001E79BD" w:rsidRDefault="008C4A4F" w:rsidP="00D3167A">
            <w:pPr>
              <w:spacing w:before="60"/>
              <w:jc w:val="center"/>
              <w:rPr>
                <w:lang w:val="en-US"/>
              </w:rPr>
            </w:pPr>
            <w:r w:rsidRPr="001E79BD">
              <w:rPr>
                <w:lang w:val="en-US"/>
              </w:rPr>
              <w:t>5.3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Pr="001E79BD" w:rsidRDefault="008C4A4F" w:rsidP="001E79BD">
            <w:pPr>
              <w:tabs>
                <w:tab w:val="left" w:pos="1985"/>
              </w:tabs>
              <w:spacing w:before="60" w:after="60"/>
              <w:rPr>
                <w:lang w:val="en-US"/>
              </w:rPr>
            </w:pPr>
            <w:r w:rsidRPr="001E79BD">
              <w:rPr>
                <w:lang w:val="en-US"/>
              </w:rPr>
              <w:t xml:space="preserve">Are </w:t>
            </w:r>
            <w:r w:rsidR="003444EE">
              <w:rPr>
                <w:lang w:val="en-US"/>
              </w:rPr>
              <w:t xml:space="preserve">there </w:t>
            </w:r>
            <w:r w:rsidRPr="001E79BD">
              <w:rPr>
                <w:lang w:val="en-US"/>
              </w:rPr>
              <w:t>remote locations already audited to IATF 16949:2016 by a</w:t>
            </w:r>
            <w:r w:rsidRPr="001E79BD">
              <w:rPr>
                <w:lang w:val="en-US"/>
              </w:rPr>
              <w:t>n</w:t>
            </w:r>
            <w:r w:rsidRPr="001E79BD">
              <w:rPr>
                <w:lang w:val="en-US"/>
              </w:rPr>
              <w:t>other CB?</w:t>
            </w:r>
          </w:p>
          <w:p w:rsidR="008C4A4F" w:rsidRPr="001E79BD" w:rsidRDefault="008C4A4F" w:rsidP="003505E6">
            <w:pPr>
              <w:tabs>
                <w:tab w:val="left" w:pos="1985"/>
              </w:tabs>
              <w:spacing w:before="60" w:after="60"/>
              <w:ind w:left="284"/>
              <w:rPr>
                <w:lang w:val="en-US"/>
              </w:rPr>
            </w:pPr>
            <w:r w:rsidRPr="00F977C3">
              <w:rPr>
                <w:sz w:val="14"/>
                <w:lang w:val="en-US"/>
              </w:rPr>
              <w:t xml:space="preserve">If </w:t>
            </w:r>
            <w:r w:rsidR="002E2F20" w:rsidRPr="00F977C3">
              <w:rPr>
                <w:sz w:val="14"/>
                <w:lang w:val="en-US"/>
              </w:rPr>
              <w:t>yes</w:t>
            </w:r>
            <w:r w:rsidRPr="00F977C3">
              <w:rPr>
                <w:sz w:val="14"/>
                <w:lang w:val="en-US"/>
              </w:rPr>
              <w:t xml:space="preserve">, </w:t>
            </w:r>
            <w:r w:rsidR="003505E6">
              <w:rPr>
                <w:sz w:val="14"/>
                <w:lang w:val="en-US"/>
              </w:rPr>
              <w:t>t</w:t>
            </w:r>
            <w:r w:rsidRPr="00F977C3">
              <w:rPr>
                <w:sz w:val="14"/>
                <w:lang w:val="en-US"/>
              </w:rPr>
              <w:t>he</w:t>
            </w:r>
            <w:r w:rsidR="003505E6">
              <w:rPr>
                <w:sz w:val="14"/>
                <w:lang w:val="en-US"/>
              </w:rPr>
              <w:t>se</w:t>
            </w:r>
            <w:r w:rsidRPr="00F977C3">
              <w:rPr>
                <w:sz w:val="14"/>
                <w:lang w:val="en-US"/>
              </w:rPr>
              <w:t xml:space="preserve"> report</w:t>
            </w:r>
            <w:r w:rsidR="003505E6">
              <w:rPr>
                <w:sz w:val="14"/>
                <w:lang w:val="en-US"/>
              </w:rPr>
              <w:t>s</w:t>
            </w:r>
            <w:r w:rsidRPr="00F977C3">
              <w:rPr>
                <w:sz w:val="14"/>
                <w:lang w:val="en-US"/>
              </w:rPr>
              <w:t xml:space="preserve"> (English) shall be attached to the documentation</w:t>
            </w:r>
            <w:r w:rsidR="00F977C3" w:rsidRPr="00F977C3">
              <w:rPr>
                <w:sz w:val="14"/>
                <w:lang w:val="en-US"/>
              </w:rPr>
              <w:t xml:space="preserve"> for Readiness Review</w:t>
            </w:r>
            <w:r w:rsidRPr="00F977C3">
              <w:rPr>
                <w:sz w:val="14"/>
                <w:lang w:val="en-US"/>
              </w:rPr>
              <w:t xml:space="preserve">. The report confirms that all interfaces between the remote supporting location and the site were audited and nonconformities </w:t>
            </w:r>
            <w:r w:rsidR="003505E6">
              <w:rPr>
                <w:sz w:val="14"/>
                <w:lang w:val="en-US"/>
              </w:rPr>
              <w:t xml:space="preserve">(if any) </w:t>
            </w:r>
            <w:r w:rsidRPr="00F977C3">
              <w:rPr>
                <w:sz w:val="14"/>
                <w:lang w:val="en-US"/>
              </w:rPr>
              <w:t>are closed.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A4F" w:rsidRPr="00C161F5" w:rsidRDefault="008C4A4F" w:rsidP="00137676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 w:rsidRPr="00411367">
              <w:rPr>
                <w:lang w:val="en-GB"/>
              </w:rPr>
              <w:t>no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A4F" w:rsidRPr="004E4A00" w:rsidRDefault="008C4A4F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4F" w:rsidRPr="004E4A00" w:rsidRDefault="008C4A4F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E16BD7" w:rsidTr="00F02882">
        <w:trPr>
          <w:trHeight w:val="700"/>
        </w:trPr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Pr="00E50145" w:rsidRDefault="003F0727" w:rsidP="001E79BD">
            <w:pPr>
              <w:spacing w:before="6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Pr="00E50145" w:rsidRDefault="003F0727" w:rsidP="001E79BD">
            <w:pPr>
              <w:tabs>
                <w:tab w:val="left" w:pos="1985"/>
              </w:tabs>
              <w:spacing w:before="60" w:after="60"/>
              <w:rPr>
                <w:highlight w:val="yellow"/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4E4A00" w:rsidRDefault="003F0727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8C4A4F" w:rsidRPr="004E4A00" w:rsidTr="00F02882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Pr="001E79BD" w:rsidRDefault="008C4A4F" w:rsidP="00D3167A">
            <w:pPr>
              <w:spacing w:before="60"/>
              <w:jc w:val="center"/>
              <w:rPr>
                <w:lang w:val="en-US"/>
              </w:rPr>
            </w:pPr>
            <w:r w:rsidRPr="001E79BD">
              <w:rPr>
                <w:lang w:val="en-US"/>
              </w:rPr>
              <w:t>5.4</w:t>
            </w: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A4F" w:rsidRPr="001E79BD" w:rsidRDefault="008C4A4F" w:rsidP="001E79BD">
            <w:pPr>
              <w:tabs>
                <w:tab w:val="left" w:pos="1985"/>
              </w:tabs>
              <w:spacing w:before="60" w:after="60"/>
              <w:rPr>
                <w:lang w:val="en-US"/>
              </w:rPr>
            </w:pPr>
            <w:r w:rsidRPr="001E79BD">
              <w:rPr>
                <w:lang w:val="en-US"/>
              </w:rPr>
              <w:t>If Remote Location are not audited</w:t>
            </w:r>
            <w:r w:rsidR="00F977C3">
              <w:rPr>
                <w:lang w:val="en-US"/>
              </w:rPr>
              <w:t xml:space="preserve"> based on IATF 16949 by a Cert.-Body yet</w:t>
            </w:r>
            <w:r w:rsidRPr="001E79BD">
              <w:rPr>
                <w:lang w:val="en-US"/>
              </w:rPr>
              <w:t>: Is a „Gap-Analysis</w:t>
            </w:r>
            <w:proofErr w:type="gramStart"/>
            <w:r w:rsidRPr="001E79BD">
              <w:rPr>
                <w:lang w:val="en-US"/>
              </w:rPr>
              <w:t>“</w:t>
            </w:r>
            <w:r w:rsidR="003444EE">
              <w:rPr>
                <w:lang w:val="en-US"/>
              </w:rPr>
              <w:t xml:space="preserve"> </w:t>
            </w:r>
            <w:r w:rsidRPr="001E79BD">
              <w:rPr>
                <w:lang w:val="en-US"/>
              </w:rPr>
              <w:t>of</w:t>
            </w:r>
            <w:proofErr w:type="gramEnd"/>
            <w:r w:rsidRPr="001E79BD">
              <w:rPr>
                <w:lang w:val="en-US"/>
              </w:rPr>
              <w:t xml:space="preserve"> the remote supporting function</w:t>
            </w:r>
            <w:r w:rsidR="003505E6">
              <w:rPr>
                <w:lang w:val="en-US"/>
              </w:rPr>
              <w:t>s</w:t>
            </w:r>
            <w:r w:rsidRPr="001E79BD">
              <w:rPr>
                <w:lang w:val="en-US"/>
              </w:rPr>
              <w:t xml:space="preserve"> avail</w:t>
            </w:r>
            <w:r w:rsidRPr="001E79BD">
              <w:rPr>
                <w:lang w:val="en-US"/>
              </w:rPr>
              <w:t>a</w:t>
            </w:r>
            <w:r w:rsidRPr="001E79BD">
              <w:rPr>
                <w:lang w:val="en-US"/>
              </w:rPr>
              <w:t>ble, including a detailed action plan of how to fulfill the applicable r</w:t>
            </w:r>
            <w:r w:rsidRPr="001E79BD">
              <w:rPr>
                <w:lang w:val="en-US"/>
              </w:rPr>
              <w:t>e</w:t>
            </w:r>
            <w:r w:rsidRPr="001E79BD">
              <w:rPr>
                <w:lang w:val="en-US"/>
              </w:rPr>
              <w:t>quirements of IATF 16949?</w:t>
            </w:r>
          </w:p>
          <w:p w:rsidR="008C4A4F" w:rsidRPr="00E50145" w:rsidRDefault="00F02882" w:rsidP="003505E6">
            <w:pPr>
              <w:tabs>
                <w:tab w:val="left" w:pos="1985"/>
              </w:tabs>
              <w:spacing w:before="60" w:after="60"/>
              <w:ind w:left="284"/>
              <w:rPr>
                <w:highlight w:val="yellow"/>
                <w:lang w:val="en-GB"/>
              </w:rPr>
            </w:pPr>
            <w:r w:rsidRPr="00F977C3">
              <w:rPr>
                <w:sz w:val="14"/>
                <w:lang w:val="en-US"/>
              </w:rPr>
              <w:t>Evidence of the “Gap-A</w:t>
            </w:r>
            <w:r w:rsidR="008C4A4F" w:rsidRPr="00F977C3">
              <w:rPr>
                <w:sz w:val="14"/>
                <w:lang w:val="en-US"/>
              </w:rPr>
              <w:t xml:space="preserve">nalyses” and the action plan for implementing IATF 16949 </w:t>
            </w:r>
            <w:r w:rsidR="003505E6">
              <w:rPr>
                <w:sz w:val="14"/>
                <w:lang w:val="en-US"/>
              </w:rPr>
              <w:t xml:space="preserve">are required to </w:t>
            </w:r>
            <w:r w:rsidR="008C4A4F" w:rsidRPr="00F977C3">
              <w:rPr>
                <w:sz w:val="14"/>
                <w:lang w:val="en-US"/>
              </w:rPr>
              <w:t>be send with the documentation</w:t>
            </w:r>
            <w:r w:rsidR="00F977C3" w:rsidRPr="00F977C3">
              <w:rPr>
                <w:sz w:val="14"/>
                <w:lang w:val="en-US"/>
              </w:rPr>
              <w:t xml:space="preserve"> for Read</w:t>
            </w:r>
            <w:r w:rsidR="00F977C3" w:rsidRPr="00F977C3">
              <w:rPr>
                <w:sz w:val="14"/>
                <w:lang w:val="en-US"/>
              </w:rPr>
              <w:t>i</w:t>
            </w:r>
            <w:r w:rsidR="00F977C3" w:rsidRPr="00F977C3">
              <w:rPr>
                <w:sz w:val="14"/>
                <w:lang w:val="en-US"/>
              </w:rPr>
              <w:t>ness Review</w:t>
            </w:r>
            <w:r w:rsidR="003505E6">
              <w:rPr>
                <w:sz w:val="14"/>
                <w:lang w:val="en-US"/>
              </w:rPr>
              <w:t xml:space="preserve"> (refer to Form A13F030)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A4F" w:rsidRPr="00C161F5" w:rsidRDefault="008C4A4F" w:rsidP="00137676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right"/>
              <w:rPr>
                <w:lang w:val="en-GB"/>
              </w:rPr>
            </w:pPr>
            <w:r w:rsidRPr="00411367">
              <w:rPr>
                <w:lang w:val="en-GB"/>
              </w:rPr>
              <w:t>no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4F" w:rsidRPr="00411367" w:rsidRDefault="008C4A4F" w:rsidP="00137676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A4F" w:rsidRPr="004E4A00" w:rsidRDefault="008C4A4F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4F" w:rsidRPr="004E4A00" w:rsidRDefault="008C4A4F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3F0727" w:rsidRPr="004E4A00" w:rsidTr="00F02882"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727" w:rsidRDefault="003F0727" w:rsidP="001E79B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727" w:rsidRPr="004E4A00" w:rsidRDefault="003F0727" w:rsidP="0013767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</w:tbl>
    <w:p w:rsidR="00277624" w:rsidRDefault="00277624" w:rsidP="00922C99">
      <w:pPr>
        <w:spacing w:before="120"/>
      </w:pPr>
    </w:p>
    <w:tbl>
      <w:tblPr>
        <w:tblStyle w:val="Tabellengitternetz"/>
        <w:tblW w:w="10206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26"/>
        <w:gridCol w:w="283"/>
        <w:gridCol w:w="3402"/>
        <w:gridCol w:w="284"/>
        <w:gridCol w:w="2511"/>
      </w:tblGrid>
      <w:tr w:rsidR="00277624" w:rsidTr="00E50145">
        <w:tc>
          <w:tcPr>
            <w:tcW w:w="3726" w:type="dxa"/>
            <w:tcBorders>
              <w:bottom w:val="single" w:sz="4" w:space="0" w:color="auto"/>
            </w:tcBorders>
          </w:tcPr>
          <w:p w:rsidR="00277624" w:rsidRDefault="00277624" w:rsidP="00277624">
            <w:pPr>
              <w:spacing w:before="360" w:after="60"/>
            </w:pPr>
          </w:p>
        </w:tc>
        <w:tc>
          <w:tcPr>
            <w:tcW w:w="283" w:type="dxa"/>
          </w:tcPr>
          <w:p w:rsidR="00277624" w:rsidRDefault="00277624" w:rsidP="00277624">
            <w:pPr>
              <w:spacing w:before="360" w:after="60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7624" w:rsidRDefault="00277624" w:rsidP="00277624">
            <w:pPr>
              <w:spacing w:before="360" w:after="60"/>
            </w:pPr>
          </w:p>
        </w:tc>
        <w:tc>
          <w:tcPr>
            <w:tcW w:w="284" w:type="dxa"/>
          </w:tcPr>
          <w:p w:rsidR="00277624" w:rsidRDefault="00277624" w:rsidP="00277624">
            <w:pPr>
              <w:spacing w:before="360" w:after="60"/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277624" w:rsidRDefault="00277624" w:rsidP="00277624">
            <w:pPr>
              <w:spacing w:before="360" w:after="60"/>
            </w:pPr>
          </w:p>
        </w:tc>
      </w:tr>
      <w:tr w:rsidR="00277624" w:rsidTr="00E50145">
        <w:tc>
          <w:tcPr>
            <w:tcW w:w="3726" w:type="dxa"/>
            <w:tcBorders>
              <w:top w:val="single" w:sz="4" w:space="0" w:color="auto"/>
            </w:tcBorders>
          </w:tcPr>
          <w:p w:rsidR="00277624" w:rsidRDefault="00277624" w:rsidP="00277624">
            <w:pPr>
              <w:spacing w:before="60" w:after="60"/>
            </w:pPr>
            <w:r w:rsidRPr="000C478F">
              <w:rPr>
                <w:lang w:val="en-GB"/>
              </w:rPr>
              <w:t>Place/Date</w:t>
            </w:r>
          </w:p>
        </w:tc>
        <w:tc>
          <w:tcPr>
            <w:tcW w:w="283" w:type="dxa"/>
          </w:tcPr>
          <w:p w:rsidR="00277624" w:rsidRDefault="00277624" w:rsidP="00277624">
            <w:pPr>
              <w:spacing w:before="60" w:after="60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7624" w:rsidRDefault="00277624" w:rsidP="00277624">
            <w:pPr>
              <w:spacing w:before="60" w:after="60"/>
            </w:pPr>
            <w:r w:rsidRPr="000C478F">
              <w:rPr>
                <w:lang w:val="en-GB"/>
              </w:rPr>
              <w:t>Name, Function</w:t>
            </w:r>
          </w:p>
        </w:tc>
        <w:tc>
          <w:tcPr>
            <w:tcW w:w="284" w:type="dxa"/>
          </w:tcPr>
          <w:p w:rsidR="00277624" w:rsidRDefault="00277624" w:rsidP="00277624">
            <w:pPr>
              <w:spacing w:before="60" w:after="60"/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277624" w:rsidRDefault="00277624" w:rsidP="00277624">
            <w:pPr>
              <w:spacing w:before="60" w:after="60"/>
            </w:pPr>
            <w:r w:rsidRPr="000C478F">
              <w:rPr>
                <w:lang w:val="en-GB"/>
              </w:rPr>
              <w:t>Signature</w:t>
            </w:r>
            <w:r w:rsidR="004D0F57">
              <w:rPr>
                <w:lang w:val="en-GB"/>
              </w:rPr>
              <w:t xml:space="preserve"> *)</w:t>
            </w:r>
          </w:p>
        </w:tc>
      </w:tr>
    </w:tbl>
    <w:p w:rsidR="00CD2477" w:rsidRDefault="00CD2477" w:rsidP="007D0CD0">
      <w:pPr>
        <w:spacing w:before="120"/>
      </w:pPr>
    </w:p>
    <w:p w:rsidR="00922C99" w:rsidRDefault="00922C99" w:rsidP="00922C99">
      <w:pPr>
        <w:spacing w:before="120"/>
      </w:pPr>
    </w:p>
    <w:p w:rsidR="00411367" w:rsidRPr="000C478F" w:rsidRDefault="00411367" w:rsidP="00411367">
      <w:pPr>
        <w:pBdr>
          <w:bottom w:val="single" w:sz="18" w:space="1" w:color="auto"/>
        </w:pBdr>
        <w:spacing w:before="60"/>
        <w:rPr>
          <w:sz w:val="2"/>
          <w:szCs w:val="2"/>
          <w:lang w:val="en-GB"/>
        </w:rPr>
      </w:pPr>
    </w:p>
    <w:p w:rsidR="00411367" w:rsidRPr="005B014A" w:rsidRDefault="00411367" w:rsidP="0070048A">
      <w:pPr>
        <w:spacing w:before="120" w:after="120"/>
        <w:rPr>
          <w:b/>
          <w:sz w:val="22"/>
          <w:lang w:val="en-GB"/>
        </w:rPr>
      </w:pPr>
      <w:r w:rsidRPr="005B014A">
        <w:rPr>
          <w:b/>
          <w:sz w:val="22"/>
          <w:lang w:val="en-GB"/>
        </w:rPr>
        <w:t>For use of T</w:t>
      </w:r>
      <w:r w:rsidR="00204A5E">
        <w:rPr>
          <w:b/>
          <w:sz w:val="22"/>
          <w:lang w:val="en-GB"/>
        </w:rPr>
        <w:t>UEV</w:t>
      </w:r>
      <w:r w:rsidRPr="005B014A">
        <w:rPr>
          <w:b/>
          <w:sz w:val="22"/>
          <w:lang w:val="en-GB"/>
        </w:rPr>
        <w:t xml:space="preserve"> NORD CERT </w:t>
      </w:r>
      <w:r w:rsidRPr="00BF0D8B">
        <w:rPr>
          <w:sz w:val="18"/>
          <w:szCs w:val="18"/>
          <w:lang w:val="en-GB"/>
        </w:rPr>
        <w:t>(</w:t>
      </w:r>
      <w:r w:rsidR="00922C99">
        <w:rPr>
          <w:sz w:val="18"/>
          <w:szCs w:val="18"/>
          <w:lang w:val="en-GB"/>
        </w:rPr>
        <w:t xml:space="preserve">to be </w:t>
      </w:r>
      <w:r>
        <w:rPr>
          <w:sz w:val="18"/>
          <w:szCs w:val="18"/>
          <w:lang w:val="en-GB"/>
        </w:rPr>
        <w:t>processed by</w:t>
      </w:r>
      <w:r w:rsidR="00F426EB">
        <w:rPr>
          <w:sz w:val="18"/>
          <w:szCs w:val="18"/>
          <w:lang w:val="en-GB"/>
        </w:rPr>
        <w:t xml:space="preserve"> IATF 16949 </w:t>
      </w:r>
      <w:r w:rsidRPr="00BF0D8B">
        <w:rPr>
          <w:sz w:val="18"/>
          <w:szCs w:val="18"/>
          <w:lang w:val="en-GB"/>
        </w:rPr>
        <w:t>approved Auditor)</w:t>
      </w:r>
    </w:p>
    <w:tbl>
      <w:tblPr>
        <w:tblStyle w:val="Tabellengitternetz"/>
        <w:tblW w:w="10201" w:type="dxa"/>
        <w:tblInd w:w="68" w:type="dxa"/>
        <w:tblLook w:val="01E0"/>
      </w:tblPr>
      <w:tblGrid>
        <w:gridCol w:w="7650"/>
        <w:gridCol w:w="1276"/>
        <w:gridCol w:w="1275"/>
      </w:tblGrid>
      <w:tr w:rsidR="00411367" w:rsidRPr="00B60043" w:rsidTr="00411367">
        <w:tc>
          <w:tcPr>
            <w:tcW w:w="7650" w:type="dxa"/>
            <w:tcBorders>
              <w:top w:val="nil"/>
              <w:left w:val="nil"/>
            </w:tcBorders>
            <w:vAlign w:val="center"/>
          </w:tcPr>
          <w:p w:rsidR="00411367" w:rsidRPr="000A1935" w:rsidRDefault="00411367" w:rsidP="00204A5E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Decision of T</w:t>
            </w:r>
            <w:r w:rsidR="00204A5E">
              <w:rPr>
                <w:b/>
                <w:bCs/>
                <w:sz w:val="22"/>
                <w:szCs w:val="22"/>
                <w:lang w:val="en-GB"/>
              </w:rPr>
              <w:t>UEV NORD CERT</w:t>
            </w:r>
            <w:r w:rsidRPr="000A1935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276" w:type="dxa"/>
            <w:vAlign w:val="center"/>
          </w:tcPr>
          <w:p w:rsidR="00411367" w:rsidRPr="000A1935" w:rsidRDefault="00411367" w:rsidP="00411367">
            <w:pPr>
              <w:spacing w:before="120" w:after="120"/>
              <w:ind w:left="-57"/>
              <w:jc w:val="center"/>
              <w:rPr>
                <w:b/>
                <w:lang w:val="en-GB"/>
              </w:rPr>
            </w:pPr>
            <w:r w:rsidRPr="000A1935">
              <w:rPr>
                <w:b/>
                <w:lang w:val="en-GB"/>
              </w:rPr>
              <w:t>yes</w:t>
            </w:r>
          </w:p>
        </w:tc>
        <w:tc>
          <w:tcPr>
            <w:tcW w:w="1275" w:type="dxa"/>
            <w:vAlign w:val="center"/>
          </w:tcPr>
          <w:p w:rsidR="00411367" w:rsidRPr="000A1935" w:rsidRDefault="00411367" w:rsidP="00411367">
            <w:pPr>
              <w:spacing w:before="120" w:after="120"/>
              <w:ind w:left="-57"/>
              <w:jc w:val="center"/>
              <w:rPr>
                <w:b/>
                <w:lang w:val="en-GB"/>
              </w:rPr>
            </w:pPr>
            <w:r w:rsidRPr="000A1935">
              <w:rPr>
                <w:b/>
                <w:lang w:val="en-GB"/>
              </w:rPr>
              <w:t>no</w:t>
            </w:r>
          </w:p>
        </w:tc>
      </w:tr>
      <w:tr w:rsidR="00411367" w:rsidRPr="00895EB7" w:rsidTr="00411367">
        <w:tc>
          <w:tcPr>
            <w:tcW w:w="7650" w:type="dxa"/>
            <w:vAlign w:val="center"/>
          </w:tcPr>
          <w:p w:rsidR="00411367" w:rsidRPr="000A1935" w:rsidRDefault="003505E6" w:rsidP="00F426EB">
            <w:pPr>
              <w:spacing w:before="120" w:after="120"/>
              <w:ind w:left="-57"/>
              <w:rPr>
                <w:lang w:val="en-GB"/>
              </w:rPr>
            </w:pPr>
            <w:r>
              <w:rPr>
                <w:lang w:val="en-GB"/>
              </w:rPr>
              <w:t xml:space="preserve">Transition- / Certification </w:t>
            </w:r>
            <w:r w:rsidR="00411367">
              <w:rPr>
                <w:lang w:val="en-GB"/>
              </w:rPr>
              <w:t xml:space="preserve">process can be </w:t>
            </w:r>
            <w:r w:rsidR="00F426EB">
              <w:rPr>
                <w:lang w:val="en-GB"/>
              </w:rPr>
              <w:t>continued</w:t>
            </w:r>
            <w:r w:rsidR="00411367">
              <w:rPr>
                <w:lang w:val="en-GB"/>
              </w:rPr>
              <w:t>?</w:t>
            </w:r>
          </w:p>
        </w:tc>
        <w:tc>
          <w:tcPr>
            <w:tcW w:w="1276" w:type="dxa"/>
            <w:vAlign w:val="center"/>
          </w:tcPr>
          <w:p w:rsidR="00411367" w:rsidRPr="00B03322" w:rsidRDefault="00411367" w:rsidP="00411367">
            <w:pPr>
              <w:spacing w:before="120" w:after="120"/>
              <w:ind w:left="-57"/>
              <w:jc w:val="center"/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411367" w:rsidRPr="00B03322" w:rsidRDefault="00411367" w:rsidP="00411367">
            <w:pPr>
              <w:spacing w:before="120" w:after="120"/>
              <w:ind w:left="-57"/>
              <w:jc w:val="center"/>
              <w:rPr>
                <w:lang w:val="en-GB"/>
              </w:rPr>
            </w:pPr>
          </w:p>
        </w:tc>
      </w:tr>
      <w:tr w:rsidR="00411367" w:rsidRPr="00895EB7" w:rsidTr="00411367">
        <w:tc>
          <w:tcPr>
            <w:tcW w:w="10201" w:type="dxa"/>
            <w:gridSpan w:val="3"/>
            <w:vAlign w:val="center"/>
          </w:tcPr>
          <w:p w:rsidR="00411367" w:rsidRPr="00B03322" w:rsidRDefault="00411367" w:rsidP="00204A5E">
            <w:pPr>
              <w:spacing w:before="120" w:after="120"/>
              <w:ind w:left="-57"/>
              <w:rPr>
                <w:lang w:val="en-GB"/>
              </w:rPr>
            </w:pPr>
            <w:r w:rsidRPr="00B03322">
              <w:rPr>
                <w:lang w:val="en-GB"/>
              </w:rPr>
              <w:t xml:space="preserve">Reason for rejection if decision is “No”: </w:t>
            </w:r>
          </w:p>
        </w:tc>
      </w:tr>
    </w:tbl>
    <w:tbl>
      <w:tblPr>
        <w:tblW w:w="10206" w:type="dxa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85"/>
        <w:gridCol w:w="888"/>
        <w:gridCol w:w="4733"/>
      </w:tblGrid>
      <w:tr w:rsidR="00411367" w:rsidRPr="00895EB7" w:rsidTr="00411367">
        <w:tc>
          <w:tcPr>
            <w:tcW w:w="4585" w:type="dxa"/>
            <w:tcBorders>
              <w:bottom w:val="single" w:sz="4" w:space="0" w:color="auto"/>
            </w:tcBorders>
          </w:tcPr>
          <w:p w:rsidR="00411367" w:rsidRPr="0081001D" w:rsidRDefault="00411367" w:rsidP="00411367">
            <w:pPr>
              <w:pStyle w:val="Kopfzeile"/>
              <w:tabs>
                <w:tab w:val="clear" w:pos="4536"/>
                <w:tab w:val="clear" w:pos="9072"/>
              </w:tabs>
              <w:spacing w:before="3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</w:tcPr>
          <w:p w:rsidR="00411367" w:rsidRPr="0081001D" w:rsidRDefault="00411367" w:rsidP="00411367">
            <w:pPr>
              <w:pStyle w:val="Kopfzeile"/>
              <w:tabs>
                <w:tab w:val="clear" w:pos="4536"/>
                <w:tab w:val="clear" w:pos="9072"/>
              </w:tabs>
              <w:spacing w:before="3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411367" w:rsidRPr="0081001D" w:rsidRDefault="00411367" w:rsidP="00411367">
            <w:pPr>
              <w:pStyle w:val="Kopfzeile"/>
              <w:tabs>
                <w:tab w:val="clear" w:pos="4536"/>
                <w:tab w:val="clear" w:pos="9072"/>
              </w:tabs>
              <w:spacing w:before="360" w:after="60"/>
              <w:rPr>
                <w:sz w:val="22"/>
                <w:szCs w:val="22"/>
                <w:lang w:val="en-US"/>
              </w:rPr>
            </w:pPr>
          </w:p>
        </w:tc>
      </w:tr>
      <w:tr w:rsidR="00411367" w:rsidRPr="00895EB7" w:rsidTr="00411367">
        <w:tc>
          <w:tcPr>
            <w:tcW w:w="4585" w:type="dxa"/>
            <w:tcBorders>
              <w:top w:val="single" w:sz="4" w:space="0" w:color="auto"/>
            </w:tcBorders>
          </w:tcPr>
          <w:p w:rsidR="00411367" w:rsidRPr="000A1935" w:rsidRDefault="00411367" w:rsidP="00411367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sz w:val="18"/>
                <w:szCs w:val="22"/>
                <w:lang w:val="en-GB"/>
              </w:rPr>
            </w:pPr>
            <w:r w:rsidRPr="000A1935">
              <w:rPr>
                <w:bCs/>
                <w:sz w:val="18"/>
                <w:szCs w:val="22"/>
                <w:lang w:val="en-GB"/>
              </w:rPr>
              <w:t>place/date</w:t>
            </w:r>
          </w:p>
        </w:tc>
        <w:tc>
          <w:tcPr>
            <w:tcW w:w="888" w:type="dxa"/>
          </w:tcPr>
          <w:p w:rsidR="00411367" w:rsidRPr="000A1935" w:rsidRDefault="00411367" w:rsidP="00411367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bCs/>
                <w:i/>
                <w:iCs/>
                <w:sz w:val="18"/>
                <w:szCs w:val="22"/>
                <w:lang w:val="en-GB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411367" w:rsidRPr="005B014A" w:rsidRDefault="00411367" w:rsidP="00411367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bCs/>
                <w:iCs/>
                <w:sz w:val="18"/>
                <w:szCs w:val="22"/>
                <w:lang w:val="en-GB"/>
              </w:rPr>
            </w:pPr>
            <w:r w:rsidRPr="00385906">
              <w:rPr>
                <w:bCs/>
                <w:iCs/>
                <w:sz w:val="18"/>
                <w:szCs w:val="22"/>
                <w:lang w:val="en-GB"/>
              </w:rPr>
              <w:t>Name in bloc</w:t>
            </w:r>
            <w:r w:rsidR="00E50145">
              <w:rPr>
                <w:bCs/>
                <w:iCs/>
                <w:sz w:val="18"/>
                <w:szCs w:val="22"/>
                <w:lang w:val="en-GB"/>
              </w:rPr>
              <w:t>k</w:t>
            </w:r>
            <w:r w:rsidRPr="00385906">
              <w:rPr>
                <w:bCs/>
                <w:iCs/>
                <w:sz w:val="18"/>
                <w:szCs w:val="22"/>
                <w:lang w:val="en-GB"/>
              </w:rPr>
              <w:t xml:space="preserve"> letters and </w:t>
            </w:r>
            <w:r w:rsidRPr="000A1935">
              <w:rPr>
                <w:bCs/>
                <w:iCs/>
                <w:sz w:val="18"/>
                <w:szCs w:val="22"/>
                <w:lang w:val="en-GB"/>
              </w:rPr>
              <w:t>signature</w:t>
            </w:r>
            <w:r w:rsidR="004D0F57">
              <w:rPr>
                <w:bCs/>
                <w:iCs/>
                <w:sz w:val="18"/>
                <w:szCs w:val="22"/>
                <w:lang w:val="en-GB"/>
              </w:rPr>
              <w:t xml:space="preserve"> *)</w:t>
            </w:r>
          </w:p>
        </w:tc>
      </w:tr>
      <w:bookmarkEnd w:id="0"/>
      <w:bookmarkEnd w:id="1"/>
    </w:tbl>
    <w:p w:rsidR="00411367" w:rsidRDefault="00411367" w:rsidP="00894898">
      <w:pPr>
        <w:rPr>
          <w:sz w:val="12"/>
          <w:lang w:val="en-US"/>
        </w:rPr>
      </w:pPr>
    </w:p>
    <w:p w:rsidR="004D0F57" w:rsidRPr="005B46AE" w:rsidRDefault="004D0F57" w:rsidP="004D0F57">
      <w:pPr>
        <w:spacing w:before="120"/>
        <w:jc w:val="right"/>
        <w:rPr>
          <w:sz w:val="16"/>
          <w:lang w:val="en-GB"/>
        </w:rPr>
      </w:pPr>
      <w:r w:rsidRPr="005B46AE">
        <w:rPr>
          <w:sz w:val="16"/>
          <w:lang w:val="en-GB"/>
        </w:rPr>
        <w:t>*) If sent by email, the ad</w:t>
      </w:r>
      <w:r>
        <w:rPr>
          <w:sz w:val="16"/>
          <w:lang w:val="en-GB"/>
        </w:rPr>
        <w:t>dress of the sender is accepted</w:t>
      </w:r>
    </w:p>
    <w:p w:rsidR="004D0F57" w:rsidRPr="007863BD" w:rsidRDefault="004D0F57" w:rsidP="00894898">
      <w:pPr>
        <w:rPr>
          <w:sz w:val="12"/>
          <w:lang w:val="en-US"/>
        </w:rPr>
      </w:pPr>
    </w:p>
    <w:sectPr w:rsidR="004D0F57" w:rsidRPr="007863BD" w:rsidSect="00174A16">
      <w:headerReference w:type="default" r:id="rId11"/>
      <w:footerReference w:type="default" r:id="rId12"/>
      <w:pgSz w:w="11906" w:h="16838" w:code="9"/>
      <w:pgMar w:top="567" w:right="567" w:bottom="567" w:left="96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20" w:rsidRDefault="002E2F20">
      <w:r>
        <w:separator/>
      </w:r>
    </w:p>
  </w:endnote>
  <w:endnote w:type="continuationSeparator" w:id="0">
    <w:p w:rsidR="002E2F20" w:rsidRDefault="002E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20" w:rsidRPr="00FB7EB8" w:rsidRDefault="009816C0" w:rsidP="00CE4B5C">
    <w:pPr>
      <w:rPr>
        <w:sz w:val="16"/>
        <w:szCs w:val="16"/>
        <w:lang w:val="en-US"/>
      </w:rPr>
    </w:pPr>
    <w:fldSimple w:instr=" FILENAME   \* MERGEFORMAT ">
      <w:r w:rsidR="00683930" w:rsidRPr="00683930">
        <w:rPr>
          <w:noProof/>
          <w:snapToGrid w:val="0"/>
          <w:sz w:val="16"/>
          <w:szCs w:val="16"/>
          <w:lang w:val="en-US"/>
        </w:rPr>
        <w:t>A13F010A02e-Readiness</w:t>
      </w:r>
      <w:r w:rsidR="00683930" w:rsidRPr="00683930">
        <w:rPr>
          <w:rStyle w:val="Seitenzahl"/>
          <w:noProof/>
          <w:sz w:val="16"/>
          <w:szCs w:val="16"/>
          <w:lang w:val="en-US"/>
        </w:rPr>
        <w:t xml:space="preserve"> Pre-Check Rev</w:t>
      </w:r>
      <w:r w:rsidR="00683930" w:rsidRPr="00683930">
        <w:rPr>
          <w:noProof/>
          <w:sz w:val="16"/>
          <w:szCs w:val="16"/>
          <w:lang w:val="en-US"/>
        </w:rPr>
        <w:t>.01.docx</w:t>
      </w:r>
    </w:fldSimple>
    <w:r w:rsidR="002E2F20" w:rsidRPr="00756859">
      <w:rPr>
        <w:sz w:val="16"/>
        <w:szCs w:val="16"/>
        <w:lang w:val="en-US"/>
      </w:rPr>
      <w:tab/>
    </w:r>
    <w:r w:rsidR="002E2F20" w:rsidRPr="00FB7EB8">
      <w:rPr>
        <w:rStyle w:val="Seitenzahl"/>
        <w:sz w:val="16"/>
        <w:szCs w:val="16"/>
        <w:lang w:val="en-US"/>
      </w:rPr>
      <w:tab/>
      <w:t xml:space="preserve">page </w:t>
    </w:r>
    <w:r w:rsidRPr="00FB7EB8">
      <w:rPr>
        <w:rStyle w:val="Seitenzahl"/>
        <w:sz w:val="16"/>
        <w:szCs w:val="16"/>
      </w:rPr>
      <w:fldChar w:fldCharType="begin"/>
    </w:r>
    <w:r w:rsidR="002E2F20" w:rsidRPr="00FB7EB8">
      <w:rPr>
        <w:rStyle w:val="Seitenzahl"/>
        <w:sz w:val="16"/>
        <w:szCs w:val="16"/>
        <w:lang w:val="en-US"/>
      </w:rPr>
      <w:instrText xml:space="preserve"> PAGE </w:instrText>
    </w:r>
    <w:r w:rsidRPr="00FB7EB8">
      <w:rPr>
        <w:rStyle w:val="Seitenzahl"/>
        <w:sz w:val="16"/>
        <w:szCs w:val="16"/>
      </w:rPr>
      <w:fldChar w:fldCharType="separate"/>
    </w:r>
    <w:r w:rsidR="00683930">
      <w:rPr>
        <w:rStyle w:val="Seitenzahl"/>
        <w:noProof/>
        <w:sz w:val="16"/>
        <w:szCs w:val="16"/>
        <w:lang w:val="en-US"/>
      </w:rPr>
      <w:t>2</w:t>
    </w:r>
    <w:r w:rsidRPr="00FB7EB8">
      <w:rPr>
        <w:rStyle w:val="Seitenzahl"/>
        <w:sz w:val="16"/>
        <w:szCs w:val="16"/>
      </w:rPr>
      <w:fldChar w:fldCharType="end"/>
    </w:r>
    <w:r w:rsidR="002E2F20" w:rsidRPr="00FB7EB8">
      <w:rPr>
        <w:rStyle w:val="Seitenzahl"/>
        <w:sz w:val="16"/>
        <w:szCs w:val="16"/>
        <w:lang w:val="en-US"/>
      </w:rPr>
      <w:t xml:space="preserve"> of </w:t>
    </w:r>
    <w:r w:rsidRPr="00FB7EB8">
      <w:rPr>
        <w:rStyle w:val="Seitenzahl"/>
        <w:sz w:val="16"/>
        <w:szCs w:val="16"/>
      </w:rPr>
      <w:fldChar w:fldCharType="begin"/>
    </w:r>
    <w:r w:rsidR="002E2F20" w:rsidRPr="00FB7EB8">
      <w:rPr>
        <w:rStyle w:val="Seitenzahl"/>
        <w:sz w:val="16"/>
        <w:szCs w:val="16"/>
        <w:lang w:val="en-US"/>
      </w:rPr>
      <w:instrText xml:space="preserve"> NUMPAGES </w:instrText>
    </w:r>
    <w:r w:rsidRPr="00FB7EB8">
      <w:rPr>
        <w:rStyle w:val="Seitenzahl"/>
        <w:sz w:val="16"/>
        <w:szCs w:val="16"/>
      </w:rPr>
      <w:fldChar w:fldCharType="separate"/>
    </w:r>
    <w:r w:rsidR="00683930">
      <w:rPr>
        <w:rStyle w:val="Seitenzahl"/>
        <w:noProof/>
        <w:sz w:val="16"/>
        <w:szCs w:val="16"/>
        <w:lang w:val="en-US"/>
      </w:rPr>
      <w:t>2</w:t>
    </w:r>
    <w:r w:rsidRPr="00FB7EB8">
      <w:rPr>
        <w:rStyle w:val="Seitenzahl"/>
        <w:sz w:val="16"/>
        <w:szCs w:val="16"/>
      </w:rPr>
      <w:fldChar w:fldCharType="end"/>
    </w:r>
    <w:r w:rsidR="002E2F20" w:rsidRPr="00FB7EB8">
      <w:rPr>
        <w:rStyle w:val="Seitenzahl"/>
        <w:sz w:val="16"/>
        <w:szCs w:val="16"/>
        <w:lang w:val="en-US"/>
      </w:rPr>
      <w:tab/>
    </w:r>
    <w:r w:rsidR="002E2F20">
      <w:rPr>
        <w:rStyle w:val="Seitenzahl"/>
        <w:sz w:val="16"/>
        <w:szCs w:val="16"/>
        <w:lang w:val="en-US"/>
      </w:rPr>
      <w:tab/>
    </w:r>
    <w:r w:rsidR="002E2F20" w:rsidRPr="00FB7EB8">
      <w:rPr>
        <w:rStyle w:val="Seitenzahl"/>
        <w:sz w:val="16"/>
        <w:szCs w:val="16"/>
        <w:lang w:val="en-US"/>
      </w:rPr>
      <w:tab/>
    </w:r>
    <w:r w:rsidR="002E2F20" w:rsidRPr="00FB7EB8">
      <w:rPr>
        <w:sz w:val="16"/>
        <w:szCs w:val="16"/>
        <w:lang w:val="en-US"/>
      </w:rPr>
      <w:t>Rev. 0</w:t>
    </w:r>
    <w:r w:rsidR="002E2F20">
      <w:rPr>
        <w:sz w:val="16"/>
        <w:szCs w:val="16"/>
        <w:lang w:val="en-US"/>
      </w:rPr>
      <w:t>1/12</w:t>
    </w:r>
    <w:r w:rsidR="002E2F20" w:rsidRPr="00FB7EB8">
      <w:rPr>
        <w:sz w:val="16"/>
        <w:szCs w:val="16"/>
        <w:lang w:val="en-US"/>
      </w:rPr>
      <w:t>.17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20" w:rsidRDefault="002E2F20">
      <w:r>
        <w:separator/>
      </w:r>
    </w:p>
  </w:footnote>
  <w:footnote w:type="continuationSeparator" w:id="0">
    <w:p w:rsidR="002E2F20" w:rsidRDefault="002E2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7967"/>
      <w:gridCol w:w="2239"/>
    </w:tblGrid>
    <w:tr w:rsidR="002E2F20" w:rsidTr="00E50145">
      <w:tc>
        <w:tcPr>
          <w:tcW w:w="80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E2F20" w:rsidRPr="00174A16" w:rsidRDefault="002E2F20" w:rsidP="0068574E">
          <w:pPr>
            <w:pStyle w:val="Kopfzeile"/>
            <w:tabs>
              <w:tab w:val="clear" w:pos="4536"/>
              <w:tab w:val="clear" w:pos="9072"/>
            </w:tabs>
            <w:spacing w:before="240"/>
            <w:rPr>
              <w:b/>
              <w:sz w:val="40"/>
              <w:szCs w:val="32"/>
              <w:lang w:val="en-US"/>
            </w:rPr>
          </w:pPr>
          <w:r>
            <w:rPr>
              <w:b/>
              <w:sz w:val="40"/>
              <w:szCs w:val="32"/>
              <w:lang w:val="en-US"/>
            </w:rPr>
            <w:t>IATF 16949:2016</w:t>
          </w:r>
        </w:p>
        <w:p w:rsidR="002E2F20" w:rsidRPr="00174A16" w:rsidRDefault="002E2F20" w:rsidP="00657AC2">
          <w:pPr>
            <w:pStyle w:val="Kopfzeile"/>
            <w:tabs>
              <w:tab w:val="clear" w:pos="4536"/>
              <w:tab w:val="clear" w:pos="9072"/>
            </w:tabs>
            <w:spacing w:before="120"/>
            <w:rPr>
              <w:b/>
              <w:sz w:val="40"/>
              <w:szCs w:val="32"/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>Readiness Pre-Check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2F20" w:rsidRPr="00F3339D" w:rsidRDefault="002E2F20" w:rsidP="005B3152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>
                <wp:extent cx="1294126" cy="828000"/>
                <wp:effectExtent l="19050" t="0" r="1274" b="0"/>
                <wp:docPr id="2" name="Bild 1" descr="C:\Users\hbrandt\Desktop\TN Certific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brandt\Desktop\TN Certific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26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F20" w:rsidRPr="00BD1A45" w:rsidRDefault="002E2F20" w:rsidP="0068574E">
    <w:pPr>
      <w:spacing w:before="80" w:after="60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5EA2"/>
    <w:multiLevelType w:val="singleLevel"/>
    <w:tmpl w:val="06F64B5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">
    <w:nsid w:val="2F3676EC"/>
    <w:multiLevelType w:val="hybridMultilevel"/>
    <w:tmpl w:val="49CA2030"/>
    <w:lvl w:ilvl="0" w:tplc="3F646D1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80EB008">
      <w:start w:val="16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80C2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1673E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C6C843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20C1D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20050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120C7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72981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autoHyphenation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6C09D8"/>
    <w:rsid w:val="00014178"/>
    <w:rsid w:val="00016111"/>
    <w:rsid w:val="00024EC3"/>
    <w:rsid w:val="00025CC8"/>
    <w:rsid w:val="00025DFF"/>
    <w:rsid w:val="00026912"/>
    <w:rsid w:val="00027ABD"/>
    <w:rsid w:val="00031C47"/>
    <w:rsid w:val="000329C0"/>
    <w:rsid w:val="0003489A"/>
    <w:rsid w:val="00037CA3"/>
    <w:rsid w:val="00040DDF"/>
    <w:rsid w:val="00042515"/>
    <w:rsid w:val="00043795"/>
    <w:rsid w:val="00044D2D"/>
    <w:rsid w:val="00066DD4"/>
    <w:rsid w:val="00070177"/>
    <w:rsid w:val="00070255"/>
    <w:rsid w:val="000703FE"/>
    <w:rsid w:val="00071402"/>
    <w:rsid w:val="0007357A"/>
    <w:rsid w:val="0007452D"/>
    <w:rsid w:val="00075486"/>
    <w:rsid w:val="00081251"/>
    <w:rsid w:val="000819C7"/>
    <w:rsid w:val="00081AA1"/>
    <w:rsid w:val="00081E95"/>
    <w:rsid w:val="00082AF3"/>
    <w:rsid w:val="00085E46"/>
    <w:rsid w:val="00086AB6"/>
    <w:rsid w:val="00087F05"/>
    <w:rsid w:val="00090758"/>
    <w:rsid w:val="000914B3"/>
    <w:rsid w:val="00092A31"/>
    <w:rsid w:val="00092C2A"/>
    <w:rsid w:val="00093AC6"/>
    <w:rsid w:val="00095CC8"/>
    <w:rsid w:val="000A5A51"/>
    <w:rsid w:val="000A601F"/>
    <w:rsid w:val="000B2214"/>
    <w:rsid w:val="000B3396"/>
    <w:rsid w:val="000C0545"/>
    <w:rsid w:val="000C2122"/>
    <w:rsid w:val="000C2AB6"/>
    <w:rsid w:val="000C3443"/>
    <w:rsid w:val="000C478F"/>
    <w:rsid w:val="000C5269"/>
    <w:rsid w:val="000C5DE9"/>
    <w:rsid w:val="000C671A"/>
    <w:rsid w:val="000C6A27"/>
    <w:rsid w:val="000D09CB"/>
    <w:rsid w:val="000D2F61"/>
    <w:rsid w:val="000D3443"/>
    <w:rsid w:val="000E437F"/>
    <w:rsid w:val="000E706E"/>
    <w:rsid w:val="000F0AFA"/>
    <w:rsid w:val="000F0B0D"/>
    <w:rsid w:val="00100C93"/>
    <w:rsid w:val="00100CB6"/>
    <w:rsid w:val="001058A8"/>
    <w:rsid w:val="0011047A"/>
    <w:rsid w:val="001143E7"/>
    <w:rsid w:val="00116AC7"/>
    <w:rsid w:val="00122DA5"/>
    <w:rsid w:val="001276B2"/>
    <w:rsid w:val="0013169D"/>
    <w:rsid w:val="001358E6"/>
    <w:rsid w:val="00137676"/>
    <w:rsid w:val="00140DF5"/>
    <w:rsid w:val="0014250A"/>
    <w:rsid w:val="00144EB1"/>
    <w:rsid w:val="00147D81"/>
    <w:rsid w:val="00152633"/>
    <w:rsid w:val="00157AFD"/>
    <w:rsid w:val="00162543"/>
    <w:rsid w:val="00172C06"/>
    <w:rsid w:val="00174A16"/>
    <w:rsid w:val="00180AD3"/>
    <w:rsid w:val="00181307"/>
    <w:rsid w:val="00182197"/>
    <w:rsid w:val="00182D5E"/>
    <w:rsid w:val="00183A48"/>
    <w:rsid w:val="00183A98"/>
    <w:rsid w:val="00190F9C"/>
    <w:rsid w:val="0019190C"/>
    <w:rsid w:val="00192BE5"/>
    <w:rsid w:val="00193EA1"/>
    <w:rsid w:val="001A0B88"/>
    <w:rsid w:val="001A17F6"/>
    <w:rsid w:val="001A1BD7"/>
    <w:rsid w:val="001A33A8"/>
    <w:rsid w:val="001A34B5"/>
    <w:rsid w:val="001B17BE"/>
    <w:rsid w:val="001B7B06"/>
    <w:rsid w:val="001C004E"/>
    <w:rsid w:val="001C3470"/>
    <w:rsid w:val="001C6282"/>
    <w:rsid w:val="001C7AA0"/>
    <w:rsid w:val="001D1673"/>
    <w:rsid w:val="001D3148"/>
    <w:rsid w:val="001D4D46"/>
    <w:rsid w:val="001D6617"/>
    <w:rsid w:val="001E025C"/>
    <w:rsid w:val="001E05A5"/>
    <w:rsid w:val="001E25AC"/>
    <w:rsid w:val="001E3D26"/>
    <w:rsid w:val="001E4B0C"/>
    <w:rsid w:val="001E5591"/>
    <w:rsid w:val="001E79BD"/>
    <w:rsid w:val="001F1843"/>
    <w:rsid w:val="001F355C"/>
    <w:rsid w:val="001F49FD"/>
    <w:rsid w:val="001F6871"/>
    <w:rsid w:val="001F728E"/>
    <w:rsid w:val="00200EEF"/>
    <w:rsid w:val="0020138D"/>
    <w:rsid w:val="00204A5E"/>
    <w:rsid w:val="00207FE3"/>
    <w:rsid w:val="002125AD"/>
    <w:rsid w:val="00215C99"/>
    <w:rsid w:val="0021628C"/>
    <w:rsid w:val="002170C9"/>
    <w:rsid w:val="00222296"/>
    <w:rsid w:val="002231A1"/>
    <w:rsid w:val="00223A20"/>
    <w:rsid w:val="00227067"/>
    <w:rsid w:val="002277CD"/>
    <w:rsid w:val="00230588"/>
    <w:rsid w:val="00230B86"/>
    <w:rsid w:val="002335C5"/>
    <w:rsid w:val="00237F09"/>
    <w:rsid w:val="0024242B"/>
    <w:rsid w:val="00243AA6"/>
    <w:rsid w:val="00246CCA"/>
    <w:rsid w:val="00250328"/>
    <w:rsid w:val="002509A4"/>
    <w:rsid w:val="00253BC4"/>
    <w:rsid w:val="00261C22"/>
    <w:rsid w:val="002629B1"/>
    <w:rsid w:val="00264D46"/>
    <w:rsid w:val="002669BB"/>
    <w:rsid w:val="002758AA"/>
    <w:rsid w:val="00276517"/>
    <w:rsid w:val="00277624"/>
    <w:rsid w:val="00283D2C"/>
    <w:rsid w:val="002850AE"/>
    <w:rsid w:val="00285EFF"/>
    <w:rsid w:val="00286AB0"/>
    <w:rsid w:val="002937BE"/>
    <w:rsid w:val="00294916"/>
    <w:rsid w:val="00295D9D"/>
    <w:rsid w:val="00296151"/>
    <w:rsid w:val="0029773E"/>
    <w:rsid w:val="002A1CE0"/>
    <w:rsid w:val="002A4B76"/>
    <w:rsid w:val="002A72A3"/>
    <w:rsid w:val="002B01AD"/>
    <w:rsid w:val="002C306F"/>
    <w:rsid w:val="002D1862"/>
    <w:rsid w:val="002D2118"/>
    <w:rsid w:val="002D2375"/>
    <w:rsid w:val="002D6FF5"/>
    <w:rsid w:val="002E0750"/>
    <w:rsid w:val="002E0A19"/>
    <w:rsid w:val="002E20B1"/>
    <w:rsid w:val="002E2F20"/>
    <w:rsid w:val="002E3BD8"/>
    <w:rsid w:val="002E4B75"/>
    <w:rsid w:val="00302603"/>
    <w:rsid w:val="00303DA6"/>
    <w:rsid w:val="00306915"/>
    <w:rsid w:val="00307D23"/>
    <w:rsid w:val="00313AB8"/>
    <w:rsid w:val="00314414"/>
    <w:rsid w:val="0031794A"/>
    <w:rsid w:val="00321F34"/>
    <w:rsid w:val="00323B1F"/>
    <w:rsid w:val="003261E5"/>
    <w:rsid w:val="00326AD2"/>
    <w:rsid w:val="003311CA"/>
    <w:rsid w:val="00332028"/>
    <w:rsid w:val="00334B9A"/>
    <w:rsid w:val="0033630A"/>
    <w:rsid w:val="00336B27"/>
    <w:rsid w:val="00342E6E"/>
    <w:rsid w:val="0034385C"/>
    <w:rsid w:val="00344261"/>
    <w:rsid w:val="0034439C"/>
    <w:rsid w:val="00344409"/>
    <w:rsid w:val="003444EE"/>
    <w:rsid w:val="003471AC"/>
    <w:rsid w:val="003474FF"/>
    <w:rsid w:val="003505E6"/>
    <w:rsid w:val="003520F4"/>
    <w:rsid w:val="00356EBA"/>
    <w:rsid w:val="00360D8A"/>
    <w:rsid w:val="00360FA1"/>
    <w:rsid w:val="00363F82"/>
    <w:rsid w:val="00365339"/>
    <w:rsid w:val="0037134D"/>
    <w:rsid w:val="0037204A"/>
    <w:rsid w:val="00372914"/>
    <w:rsid w:val="00375041"/>
    <w:rsid w:val="0037764A"/>
    <w:rsid w:val="003778C6"/>
    <w:rsid w:val="00380380"/>
    <w:rsid w:val="00382F05"/>
    <w:rsid w:val="00385301"/>
    <w:rsid w:val="00385906"/>
    <w:rsid w:val="00386DAC"/>
    <w:rsid w:val="00387964"/>
    <w:rsid w:val="00392730"/>
    <w:rsid w:val="00395743"/>
    <w:rsid w:val="003A3971"/>
    <w:rsid w:val="003B2E3F"/>
    <w:rsid w:val="003B39D6"/>
    <w:rsid w:val="003B6FB7"/>
    <w:rsid w:val="003B703F"/>
    <w:rsid w:val="003C1E75"/>
    <w:rsid w:val="003C2899"/>
    <w:rsid w:val="003C68C7"/>
    <w:rsid w:val="003D4C84"/>
    <w:rsid w:val="003D7A59"/>
    <w:rsid w:val="003E4CE4"/>
    <w:rsid w:val="003F0727"/>
    <w:rsid w:val="003F5E15"/>
    <w:rsid w:val="003F6152"/>
    <w:rsid w:val="003F72B8"/>
    <w:rsid w:val="00405955"/>
    <w:rsid w:val="00407594"/>
    <w:rsid w:val="00411367"/>
    <w:rsid w:val="004119B3"/>
    <w:rsid w:val="004123F5"/>
    <w:rsid w:val="00412E98"/>
    <w:rsid w:val="00414B35"/>
    <w:rsid w:val="00416650"/>
    <w:rsid w:val="00416C8C"/>
    <w:rsid w:val="0042134A"/>
    <w:rsid w:val="00423D10"/>
    <w:rsid w:val="00424A49"/>
    <w:rsid w:val="00426A55"/>
    <w:rsid w:val="00427D74"/>
    <w:rsid w:val="0043059D"/>
    <w:rsid w:val="00431405"/>
    <w:rsid w:val="0043144E"/>
    <w:rsid w:val="00435655"/>
    <w:rsid w:val="0043615E"/>
    <w:rsid w:val="004412F1"/>
    <w:rsid w:val="00442745"/>
    <w:rsid w:val="00444A7A"/>
    <w:rsid w:val="004463E0"/>
    <w:rsid w:val="00446C08"/>
    <w:rsid w:val="00451087"/>
    <w:rsid w:val="00452B25"/>
    <w:rsid w:val="00453244"/>
    <w:rsid w:val="00461256"/>
    <w:rsid w:val="00463227"/>
    <w:rsid w:val="00465184"/>
    <w:rsid w:val="00466B87"/>
    <w:rsid w:val="00467458"/>
    <w:rsid w:val="00467646"/>
    <w:rsid w:val="00470B61"/>
    <w:rsid w:val="004713FA"/>
    <w:rsid w:val="00471D07"/>
    <w:rsid w:val="004722E8"/>
    <w:rsid w:val="00473E9E"/>
    <w:rsid w:val="00474949"/>
    <w:rsid w:val="00476940"/>
    <w:rsid w:val="004769D0"/>
    <w:rsid w:val="00476CE3"/>
    <w:rsid w:val="004828BC"/>
    <w:rsid w:val="004846BE"/>
    <w:rsid w:val="00490C3C"/>
    <w:rsid w:val="0049274F"/>
    <w:rsid w:val="00493AF8"/>
    <w:rsid w:val="00495800"/>
    <w:rsid w:val="00495B3E"/>
    <w:rsid w:val="004A0AA7"/>
    <w:rsid w:val="004B6605"/>
    <w:rsid w:val="004B6832"/>
    <w:rsid w:val="004B7C8D"/>
    <w:rsid w:val="004C4D3C"/>
    <w:rsid w:val="004D0712"/>
    <w:rsid w:val="004D0F57"/>
    <w:rsid w:val="004D0F83"/>
    <w:rsid w:val="004D269D"/>
    <w:rsid w:val="004D52A8"/>
    <w:rsid w:val="004D740B"/>
    <w:rsid w:val="004D79FD"/>
    <w:rsid w:val="004E161B"/>
    <w:rsid w:val="004E2214"/>
    <w:rsid w:val="004E4423"/>
    <w:rsid w:val="004E4A00"/>
    <w:rsid w:val="004E5DBA"/>
    <w:rsid w:val="004E724D"/>
    <w:rsid w:val="004F1101"/>
    <w:rsid w:val="004F1DC4"/>
    <w:rsid w:val="004F6874"/>
    <w:rsid w:val="00500AB1"/>
    <w:rsid w:val="00513BFC"/>
    <w:rsid w:val="00520862"/>
    <w:rsid w:val="00521076"/>
    <w:rsid w:val="005233BE"/>
    <w:rsid w:val="00524EAA"/>
    <w:rsid w:val="00525675"/>
    <w:rsid w:val="005304FD"/>
    <w:rsid w:val="00530A57"/>
    <w:rsid w:val="00537613"/>
    <w:rsid w:val="0054148C"/>
    <w:rsid w:val="005415A7"/>
    <w:rsid w:val="005416F4"/>
    <w:rsid w:val="00543D52"/>
    <w:rsid w:val="0054402D"/>
    <w:rsid w:val="00544877"/>
    <w:rsid w:val="00544F25"/>
    <w:rsid w:val="00550869"/>
    <w:rsid w:val="00553578"/>
    <w:rsid w:val="005562A9"/>
    <w:rsid w:val="00556454"/>
    <w:rsid w:val="00557831"/>
    <w:rsid w:val="00560759"/>
    <w:rsid w:val="0056580C"/>
    <w:rsid w:val="00565E99"/>
    <w:rsid w:val="00566D3E"/>
    <w:rsid w:val="00566E43"/>
    <w:rsid w:val="0057339C"/>
    <w:rsid w:val="00574D6E"/>
    <w:rsid w:val="0057791F"/>
    <w:rsid w:val="005857C8"/>
    <w:rsid w:val="00585AB9"/>
    <w:rsid w:val="0059006C"/>
    <w:rsid w:val="00593527"/>
    <w:rsid w:val="00593600"/>
    <w:rsid w:val="00596390"/>
    <w:rsid w:val="00597004"/>
    <w:rsid w:val="005A1E4C"/>
    <w:rsid w:val="005A1E9F"/>
    <w:rsid w:val="005B014A"/>
    <w:rsid w:val="005B0825"/>
    <w:rsid w:val="005B15BB"/>
    <w:rsid w:val="005B3152"/>
    <w:rsid w:val="005B3C78"/>
    <w:rsid w:val="005B48C5"/>
    <w:rsid w:val="005B4AD5"/>
    <w:rsid w:val="005B633C"/>
    <w:rsid w:val="005B73B5"/>
    <w:rsid w:val="005C0580"/>
    <w:rsid w:val="005C2F29"/>
    <w:rsid w:val="005C3699"/>
    <w:rsid w:val="005C42B1"/>
    <w:rsid w:val="005C6C6B"/>
    <w:rsid w:val="005C7112"/>
    <w:rsid w:val="005C7B7D"/>
    <w:rsid w:val="005D17A9"/>
    <w:rsid w:val="005D5D86"/>
    <w:rsid w:val="005E1831"/>
    <w:rsid w:val="005F0C2E"/>
    <w:rsid w:val="005F4FFF"/>
    <w:rsid w:val="005F64E6"/>
    <w:rsid w:val="00600AA1"/>
    <w:rsid w:val="00603001"/>
    <w:rsid w:val="00606773"/>
    <w:rsid w:val="00610494"/>
    <w:rsid w:val="00610E06"/>
    <w:rsid w:val="00611489"/>
    <w:rsid w:val="00617A60"/>
    <w:rsid w:val="0062018A"/>
    <w:rsid w:val="00620A30"/>
    <w:rsid w:val="00622DFD"/>
    <w:rsid w:val="006246E6"/>
    <w:rsid w:val="0062518C"/>
    <w:rsid w:val="00626D10"/>
    <w:rsid w:val="00631B96"/>
    <w:rsid w:val="00633485"/>
    <w:rsid w:val="00634146"/>
    <w:rsid w:val="0063502A"/>
    <w:rsid w:val="00641C34"/>
    <w:rsid w:val="0064284E"/>
    <w:rsid w:val="00645825"/>
    <w:rsid w:val="00645B65"/>
    <w:rsid w:val="00645FED"/>
    <w:rsid w:val="006476E7"/>
    <w:rsid w:val="00650603"/>
    <w:rsid w:val="00651504"/>
    <w:rsid w:val="00651598"/>
    <w:rsid w:val="006542EF"/>
    <w:rsid w:val="006575D3"/>
    <w:rsid w:val="006576BE"/>
    <w:rsid w:val="00657AC2"/>
    <w:rsid w:val="00665509"/>
    <w:rsid w:val="00665D05"/>
    <w:rsid w:val="00666D2E"/>
    <w:rsid w:val="00670647"/>
    <w:rsid w:val="00670EA2"/>
    <w:rsid w:val="006732D7"/>
    <w:rsid w:val="00674D58"/>
    <w:rsid w:val="0067553C"/>
    <w:rsid w:val="0068056C"/>
    <w:rsid w:val="0068119E"/>
    <w:rsid w:val="00681E48"/>
    <w:rsid w:val="0068335A"/>
    <w:rsid w:val="00683930"/>
    <w:rsid w:val="00684107"/>
    <w:rsid w:val="0068574E"/>
    <w:rsid w:val="00685B8B"/>
    <w:rsid w:val="00697CFC"/>
    <w:rsid w:val="006A5961"/>
    <w:rsid w:val="006B1E01"/>
    <w:rsid w:val="006B359F"/>
    <w:rsid w:val="006B418B"/>
    <w:rsid w:val="006B56E6"/>
    <w:rsid w:val="006B7DC0"/>
    <w:rsid w:val="006C0414"/>
    <w:rsid w:val="006C0682"/>
    <w:rsid w:val="006C09D8"/>
    <w:rsid w:val="006C136A"/>
    <w:rsid w:val="006C188C"/>
    <w:rsid w:val="006C4589"/>
    <w:rsid w:val="006C4BC7"/>
    <w:rsid w:val="006C5078"/>
    <w:rsid w:val="006C5A90"/>
    <w:rsid w:val="006D26F5"/>
    <w:rsid w:val="006D3EBA"/>
    <w:rsid w:val="006E0561"/>
    <w:rsid w:val="006E0772"/>
    <w:rsid w:val="006E587A"/>
    <w:rsid w:val="006E689F"/>
    <w:rsid w:val="006E69A7"/>
    <w:rsid w:val="006E7121"/>
    <w:rsid w:val="006E77BF"/>
    <w:rsid w:val="006E7C68"/>
    <w:rsid w:val="006F51F4"/>
    <w:rsid w:val="006F6D71"/>
    <w:rsid w:val="006F7D6B"/>
    <w:rsid w:val="0070021E"/>
    <w:rsid w:val="0070048A"/>
    <w:rsid w:val="007030B8"/>
    <w:rsid w:val="00703792"/>
    <w:rsid w:val="00704106"/>
    <w:rsid w:val="00707022"/>
    <w:rsid w:val="00710E13"/>
    <w:rsid w:val="007110E0"/>
    <w:rsid w:val="007121BE"/>
    <w:rsid w:val="007127B3"/>
    <w:rsid w:val="007142F4"/>
    <w:rsid w:val="007161B1"/>
    <w:rsid w:val="0071649F"/>
    <w:rsid w:val="00716A93"/>
    <w:rsid w:val="0072687C"/>
    <w:rsid w:val="00744AD0"/>
    <w:rsid w:val="00746474"/>
    <w:rsid w:val="0075249C"/>
    <w:rsid w:val="00753C12"/>
    <w:rsid w:val="00755C5B"/>
    <w:rsid w:val="00755DDF"/>
    <w:rsid w:val="00756859"/>
    <w:rsid w:val="00757636"/>
    <w:rsid w:val="007623A7"/>
    <w:rsid w:val="007624B2"/>
    <w:rsid w:val="0077061E"/>
    <w:rsid w:val="00770F0F"/>
    <w:rsid w:val="007726AA"/>
    <w:rsid w:val="007764D1"/>
    <w:rsid w:val="00776FA8"/>
    <w:rsid w:val="00777C74"/>
    <w:rsid w:val="0078164B"/>
    <w:rsid w:val="007817BF"/>
    <w:rsid w:val="00782C88"/>
    <w:rsid w:val="00784B11"/>
    <w:rsid w:val="007863BD"/>
    <w:rsid w:val="00794C13"/>
    <w:rsid w:val="007A0B35"/>
    <w:rsid w:val="007A0F4D"/>
    <w:rsid w:val="007A3925"/>
    <w:rsid w:val="007A5D6B"/>
    <w:rsid w:val="007B144E"/>
    <w:rsid w:val="007B46D7"/>
    <w:rsid w:val="007B62E5"/>
    <w:rsid w:val="007C05BB"/>
    <w:rsid w:val="007C0F4D"/>
    <w:rsid w:val="007C1D24"/>
    <w:rsid w:val="007C2EA7"/>
    <w:rsid w:val="007C4DD1"/>
    <w:rsid w:val="007C607E"/>
    <w:rsid w:val="007D0CD0"/>
    <w:rsid w:val="007D24EF"/>
    <w:rsid w:val="007D2E05"/>
    <w:rsid w:val="007D37F8"/>
    <w:rsid w:val="007D3D59"/>
    <w:rsid w:val="007D5167"/>
    <w:rsid w:val="007E0A7B"/>
    <w:rsid w:val="007E1C41"/>
    <w:rsid w:val="007E3B70"/>
    <w:rsid w:val="007E7FBD"/>
    <w:rsid w:val="007F0CE4"/>
    <w:rsid w:val="007F1211"/>
    <w:rsid w:val="007F51E0"/>
    <w:rsid w:val="007F7C4D"/>
    <w:rsid w:val="00801A7D"/>
    <w:rsid w:val="00803A14"/>
    <w:rsid w:val="00803F88"/>
    <w:rsid w:val="00804274"/>
    <w:rsid w:val="008070F8"/>
    <w:rsid w:val="00807327"/>
    <w:rsid w:val="00817391"/>
    <w:rsid w:val="008209FD"/>
    <w:rsid w:val="00823E95"/>
    <w:rsid w:val="00826CC3"/>
    <w:rsid w:val="00826D36"/>
    <w:rsid w:val="00826DCC"/>
    <w:rsid w:val="0082791E"/>
    <w:rsid w:val="00827BF2"/>
    <w:rsid w:val="0083222C"/>
    <w:rsid w:val="00833CCF"/>
    <w:rsid w:val="00835B70"/>
    <w:rsid w:val="00835F74"/>
    <w:rsid w:val="008446C2"/>
    <w:rsid w:val="008506A2"/>
    <w:rsid w:val="00851657"/>
    <w:rsid w:val="008518D5"/>
    <w:rsid w:val="00852E17"/>
    <w:rsid w:val="0086303D"/>
    <w:rsid w:val="00865293"/>
    <w:rsid w:val="0086581E"/>
    <w:rsid w:val="00867FF7"/>
    <w:rsid w:val="00876BF0"/>
    <w:rsid w:val="00881A6B"/>
    <w:rsid w:val="00885C3F"/>
    <w:rsid w:val="00886273"/>
    <w:rsid w:val="0089013D"/>
    <w:rsid w:val="0089039F"/>
    <w:rsid w:val="00890A51"/>
    <w:rsid w:val="0089415C"/>
    <w:rsid w:val="00894898"/>
    <w:rsid w:val="00894F57"/>
    <w:rsid w:val="00895EB7"/>
    <w:rsid w:val="008973D6"/>
    <w:rsid w:val="008975A9"/>
    <w:rsid w:val="008A2536"/>
    <w:rsid w:val="008A2A7C"/>
    <w:rsid w:val="008A75C5"/>
    <w:rsid w:val="008B302E"/>
    <w:rsid w:val="008C49BD"/>
    <w:rsid w:val="008C4A4F"/>
    <w:rsid w:val="008C7216"/>
    <w:rsid w:val="008D79FD"/>
    <w:rsid w:val="008E018B"/>
    <w:rsid w:val="008F274B"/>
    <w:rsid w:val="008F4F1D"/>
    <w:rsid w:val="008F5A0D"/>
    <w:rsid w:val="00907900"/>
    <w:rsid w:val="009100F6"/>
    <w:rsid w:val="00915DB4"/>
    <w:rsid w:val="00916CAD"/>
    <w:rsid w:val="00921ACE"/>
    <w:rsid w:val="00922C99"/>
    <w:rsid w:val="00922F68"/>
    <w:rsid w:val="0092428B"/>
    <w:rsid w:val="00927020"/>
    <w:rsid w:val="0093662A"/>
    <w:rsid w:val="0094117D"/>
    <w:rsid w:val="00941A0D"/>
    <w:rsid w:val="009420CF"/>
    <w:rsid w:val="009461FB"/>
    <w:rsid w:val="0094703E"/>
    <w:rsid w:val="00950F9D"/>
    <w:rsid w:val="0095377A"/>
    <w:rsid w:val="00953B6B"/>
    <w:rsid w:val="0095422A"/>
    <w:rsid w:val="00957C1A"/>
    <w:rsid w:val="0096016C"/>
    <w:rsid w:val="00960E04"/>
    <w:rsid w:val="00962D92"/>
    <w:rsid w:val="00965327"/>
    <w:rsid w:val="00972B44"/>
    <w:rsid w:val="00972FA1"/>
    <w:rsid w:val="009816C0"/>
    <w:rsid w:val="00981A0E"/>
    <w:rsid w:val="0098316B"/>
    <w:rsid w:val="009876BD"/>
    <w:rsid w:val="0099168B"/>
    <w:rsid w:val="009943BB"/>
    <w:rsid w:val="009A0282"/>
    <w:rsid w:val="009A1D78"/>
    <w:rsid w:val="009A3B3D"/>
    <w:rsid w:val="009A5150"/>
    <w:rsid w:val="009A728A"/>
    <w:rsid w:val="009C1DE2"/>
    <w:rsid w:val="009C3BD7"/>
    <w:rsid w:val="009C5C7F"/>
    <w:rsid w:val="009D2BBF"/>
    <w:rsid w:val="009D2D08"/>
    <w:rsid w:val="009D58EC"/>
    <w:rsid w:val="009D71AF"/>
    <w:rsid w:val="009E0126"/>
    <w:rsid w:val="009E5D22"/>
    <w:rsid w:val="00A0458F"/>
    <w:rsid w:val="00A05BBC"/>
    <w:rsid w:val="00A132BD"/>
    <w:rsid w:val="00A13A48"/>
    <w:rsid w:val="00A14F66"/>
    <w:rsid w:val="00A176EB"/>
    <w:rsid w:val="00A21D3F"/>
    <w:rsid w:val="00A21D7E"/>
    <w:rsid w:val="00A2716B"/>
    <w:rsid w:val="00A30B5C"/>
    <w:rsid w:val="00A33AE3"/>
    <w:rsid w:val="00A36419"/>
    <w:rsid w:val="00A404B5"/>
    <w:rsid w:val="00A41009"/>
    <w:rsid w:val="00A4421F"/>
    <w:rsid w:val="00A45A74"/>
    <w:rsid w:val="00A471EE"/>
    <w:rsid w:val="00A4743E"/>
    <w:rsid w:val="00A50CBA"/>
    <w:rsid w:val="00A512FB"/>
    <w:rsid w:val="00A517CC"/>
    <w:rsid w:val="00A5279A"/>
    <w:rsid w:val="00A56B42"/>
    <w:rsid w:val="00A57F8A"/>
    <w:rsid w:val="00A674CC"/>
    <w:rsid w:val="00A75DA6"/>
    <w:rsid w:val="00A80E07"/>
    <w:rsid w:val="00A82C0C"/>
    <w:rsid w:val="00A96A3A"/>
    <w:rsid w:val="00AA0659"/>
    <w:rsid w:val="00AB080C"/>
    <w:rsid w:val="00AB2062"/>
    <w:rsid w:val="00AB4282"/>
    <w:rsid w:val="00AB4F37"/>
    <w:rsid w:val="00AB5140"/>
    <w:rsid w:val="00AB58C1"/>
    <w:rsid w:val="00AD2C9E"/>
    <w:rsid w:val="00AD346B"/>
    <w:rsid w:val="00AD43EE"/>
    <w:rsid w:val="00AE2ED9"/>
    <w:rsid w:val="00AE47DE"/>
    <w:rsid w:val="00AE67D8"/>
    <w:rsid w:val="00AF03D9"/>
    <w:rsid w:val="00AF049E"/>
    <w:rsid w:val="00AF2FA3"/>
    <w:rsid w:val="00AF3E34"/>
    <w:rsid w:val="00AF4B05"/>
    <w:rsid w:val="00B02AB5"/>
    <w:rsid w:val="00B03322"/>
    <w:rsid w:val="00B05462"/>
    <w:rsid w:val="00B103B4"/>
    <w:rsid w:val="00B10EF6"/>
    <w:rsid w:val="00B1385B"/>
    <w:rsid w:val="00B1487F"/>
    <w:rsid w:val="00B16058"/>
    <w:rsid w:val="00B166A9"/>
    <w:rsid w:val="00B2131E"/>
    <w:rsid w:val="00B215D4"/>
    <w:rsid w:val="00B24FD5"/>
    <w:rsid w:val="00B25F50"/>
    <w:rsid w:val="00B304B7"/>
    <w:rsid w:val="00B31331"/>
    <w:rsid w:val="00B340A6"/>
    <w:rsid w:val="00B36589"/>
    <w:rsid w:val="00B37A2E"/>
    <w:rsid w:val="00B4216A"/>
    <w:rsid w:val="00B425C7"/>
    <w:rsid w:val="00B425C8"/>
    <w:rsid w:val="00B43C8F"/>
    <w:rsid w:val="00B43CDC"/>
    <w:rsid w:val="00B4435B"/>
    <w:rsid w:val="00B46C23"/>
    <w:rsid w:val="00B46C5B"/>
    <w:rsid w:val="00B533C2"/>
    <w:rsid w:val="00B547AC"/>
    <w:rsid w:val="00B54E05"/>
    <w:rsid w:val="00B5660D"/>
    <w:rsid w:val="00B60043"/>
    <w:rsid w:val="00B603C4"/>
    <w:rsid w:val="00B61B88"/>
    <w:rsid w:val="00B63344"/>
    <w:rsid w:val="00B71840"/>
    <w:rsid w:val="00B73FD5"/>
    <w:rsid w:val="00B76617"/>
    <w:rsid w:val="00B84EFD"/>
    <w:rsid w:val="00B8551A"/>
    <w:rsid w:val="00B8755F"/>
    <w:rsid w:val="00B92DA3"/>
    <w:rsid w:val="00B9444D"/>
    <w:rsid w:val="00B9617E"/>
    <w:rsid w:val="00BA0DD0"/>
    <w:rsid w:val="00BA2E9B"/>
    <w:rsid w:val="00BA7C26"/>
    <w:rsid w:val="00BB0147"/>
    <w:rsid w:val="00BB445C"/>
    <w:rsid w:val="00BB5EFD"/>
    <w:rsid w:val="00BB7C24"/>
    <w:rsid w:val="00BC1A5B"/>
    <w:rsid w:val="00BC26B7"/>
    <w:rsid w:val="00BC3CD9"/>
    <w:rsid w:val="00BC6F3F"/>
    <w:rsid w:val="00BD1567"/>
    <w:rsid w:val="00BD160B"/>
    <w:rsid w:val="00BD2838"/>
    <w:rsid w:val="00BD3EB8"/>
    <w:rsid w:val="00BD543D"/>
    <w:rsid w:val="00BD679A"/>
    <w:rsid w:val="00BD6B1C"/>
    <w:rsid w:val="00BE09AD"/>
    <w:rsid w:val="00BE1DE1"/>
    <w:rsid w:val="00BE5ED8"/>
    <w:rsid w:val="00BE6708"/>
    <w:rsid w:val="00BE6AA4"/>
    <w:rsid w:val="00BE6C06"/>
    <w:rsid w:val="00BE754C"/>
    <w:rsid w:val="00BE75CC"/>
    <w:rsid w:val="00BF0543"/>
    <w:rsid w:val="00BF0D8B"/>
    <w:rsid w:val="00BF1B3A"/>
    <w:rsid w:val="00BF24EA"/>
    <w:rsid w:val="00BF2EC2"/>
    <w:rsid w:val="00BF47C2"/>
    <w:rsid w:val="00BF4F69"/>
    <w:rsid w:val="00BF54C3"/>
    <w:rsid w:val="00BF6FC1"/>
    <w:rsid w:val="00C011F3"/>
    <w:rsid w:val="00C10A18"/>
    <w:rsid w:val="00C11155"/>
    <w:rsid w:val="00C11175"/>
    <w:rsid w:val="00C12399"/>
    <w:rsid w:val="00C14410"/>
    <w:rsid w:val="00C154C6"/>
    <w:rsid w:val="00C161F5"/>
    <w:rsid w:val="00C176AA"/>
    <w:rsid w:val="00C20C5F"/>
    <w:rsid w:val="00C20CA6"/>
    <w:rsid w:val="00C213E9"/>
    <w:rsid w:val="00C22633"/>
    <w:rsid w:val="00C24C1C"/>
    <w:rsid w:val="00C26659"/>
    <w:rsid w:val="00C32A17"/>
    <w:rsid w:val="00C342AA"/>
    <w:rsid w:val="00C345B6"/>
    <w:rsid w:val="00C34A51"/>
    <w:rsid w:val="00C34C5C"/>
    <w:rsid w:val="00C3598D"/>
    <w:rsid w:val="00C3675A"/>
    <w:rsid w:val="00C416E6"/>
    <w:rsid w:val="00C44D0A"/>
    <w:rsid w:val="00C45A44"/>
    <w:rsid w:val="00C47037"/>
    <w:rsid w:val="00C50D45"/>
    <w:rsid w:val="00C50E35"/>
    <w:rsid w:val="00C51EF7"/>
    <w:rsid w:val="00C60965"/>
    <w:rsid w:val="00C6455A"/>
    <w:rsid w:val="00C64FC0"/>
    <w:rsid w:val="00C709BC"/>
    <w:rsid w:val="00C73F4A"/>
    <w:rsid w:val="00C76ABD"/>
    <w:rsid w:val="00C76EEB"/>
    <w:rsid w:val="00C816A3"/>
    <w:rsid w:val="00C84F1B"/>
    <w:rsid w:val="00C8787B"/>
    <w:rsid w:val="00C90271"/>
    <w:rsid w:val="00C93725"/>
    <w:rsid w:val="00C94F7D"/>
    <w:rsid w:val="00C9714F"/>
    <w:rsid w:val="00CA2794"/>
    <w:rsid w:val="00CA37FA"/>
    <w:rsid w:val="00CA3964"/>
    <w:rsid w:val="00CA47BA"/>
    <w:rsid w:val="00CA5FC1"/>
    <w:rsid w:val="00CA7E31"/>
    <w:rsid w:val="00CB13E7"/>
    <w:rsid w:val="00CB1E16"/>
    <w:rsid w:val="00CC0399"/>
    <w:rsid w:val="00CC16CD"/>
    <w:rsid w:val="00CC1A09"/>
    <w:rsid w:val="00CC3F1D"/>
    <w:rsid w:val="00CC4245"/>
    <w:rsid w:val="00CD2477"/>
    <w:rsid w:val="00CD3075"/>
    <w:rsid w:val="00CD355D"/>
    <w:rsid w:val="00CD4E49"/>
    <w:rsid w:val="00CE0DAB"/>
    <w:rsid w:val="00CE0ECB"/>
    <w:rsid w:val="00CE219E"/>
    <w:rsid w:val="00CE4B5C"/>
    <w:rsid w:val="00CE4E85"/>
    <w:rsid w:val="00CE6AF2"/>
    <w:rsid w:val="00CE6BC8"/>
    <w:rsid w:val="00CF0786"/>
    <w:rsid w:val="00CF4036"/>
    <w:rsid w:val="00CF6D4A"/>
    <w:rsid w:val="00CF7704"/>
    <w:rsid w:val="00CF7B11"/>
    <w:rsid w:val="00D022F9"/>
    <w:rsid w:val="00D0781A"/>
    <w:rsid w:val="00D10885"/>
    <w:rsid w:val="00D12766"/>
    <w:rsid w:val="00D13A95"/>
    <w:rsid w:val="00D16180"/>
    <w:rsid w:val="00D16620"/>
    <w:rsid w:val="00D207E4"/>
    <w:rsid w:val="00D212AC"/>
    <w:rsid w:val="00D25797"/>
    <w:rsid w:val="00D3062B"/>
    <w:rsid w:val="00D30749"/>
    <w:rsid w:val="00D3167A"/>
    <w:rsid w:val="00D32F84"/>
    <w:rsid w:val="00D33208"/>
    <w:rsid w:val="00D40110"/>
    <w:rsid w:val="00D40382"/>
    <w:rsid w:val="00D42B47"/>
    <w:rsid w:val="00D4571A"/>
    <w:rsid w:val="00D474B5"/>
    <w:rsid w:val="00D51F3F"/>
    <w:rsid w:val="00D53246"/>
    <w:rsid w:val="00D56D29"/>
    <w:rsid w:val="00D6079A"/>
    <w:rsid w:val="00D61C22"/>
    <w:rsid w:val="00D71542"/>
    <w:rsid w:val="00D724CB"/>
    <w:rsid w:val="00D75631"/>
    <w:rsid w:val="00D80D57"/>
    <w:rsid w:val="00D836DB"/>
    <w:rsid w:val="00D864DE"/>
    <w:rsid w:val="00D87988"/>
    <w:rsid w:val="00D92FF2"/>
    <w:rsid w:val="00D94493"/>
    <w:rsid w:val="00DA080E"/>
    <w:rsid w:val="00DA1D66"/>
    <w:rsid w:val="00DA242E"/>
    <w:rsid w:val="00DA332C"/>
    <w:rsid w:val="00DA6BB3"/>
    <w:rsid w:val="00DB317F"/>
    <w:rsid w:val="00DB320E"/>
    <w:rsid w:val="00DB3BD8"/>
    <w:rsid w:val="00DB4BFF"/>
    <w:rsid w:val="00DB700E"/>
    <w:rsid w:val="00DC1B3B"/>
    <w:rsid w:val="00DC2629"/>
    <w:rsid w:val="00DC3E77"/>
    <w:rsid w:val="00DC71B1"/>
    <w:rsid w:val="00DC71ED"/>
    <w:rsid w:val="00DC7293"/>
    <w:rsid w:val="00DD54B9"/>
    <w:rsid w:val="00DD54EC"/>
    <w:rsid w:val="00DD5FCB"/>
    <w:rsid w:val="00DE120C"/>
    <w:rsid w:val="00DE24DA"/>
    <w:rsid w:val="00DE2650"/>
    <w:rsid w:val="00DE34E8"/>
    <w:rsid w:val="00DE3829"/>
    <w:rsid w:val="00DE6546"/>
    <w:rsid w:val="00E00267"/>
    <w:rsid w:val="00E026B2"/>
    <w:rsid w:val="00E0279B"/>
    <w:rsid w:val="00E037DF"/>
    <w:rsid w:val="00E03C1D"/>
    <w:rsid w:val="00E049B0"/>
    <w:rsid w:val="00E04F8B"/>
    <w:rsid w:val="00E05169"/>
    <w:rsid w:val="00E064AA"/>
    <w:rsid w:val="00E118B5"/>
    <w:rsid w:val="00E13CFE"/>
    <w:rsid w:val="00E157FD"/>
    <w:rsid w:val="00E16BD7"/>
    <w:rsid w:val="00E173B2"/>
    <w:rsid w:val="00E2184F"/>
    <w:rsid w:val="00E21994"/>
    <w:rsid w:val="00E2471D"/>
    <w:rsid w:val="00E300F7"/>
    <w:rsid w:val="00E33C54"/>
    <w:rsid w:val="00E354F6"/>
    <w:rsid w:val="00E368F0"/>
    <w:rsid w:val="00E36EE8"/>
    <w:rsid w:val="00E40012"/>
    <w:rsid w:val="00E4005A"/>
    <w:rsid w:val="00E41D59"/>
    <w:rsid w:val="00E4240D"/>
    <w:rsid w:val="00E42647"/>
    <w:rsid w:val="00E43EEF"/>
    <w:rsid w:val="00E476E9"/>
    <w:rsid w:val="00E50145"/>
    <w:rsid w:val="00E51102"/>
    <w:rsid w:val="00E51DAB"/>
    <w:rsid w:val="00E56A8F"/>
    <w:rsid w:val="00E607D4"/>
    <w:rsid w:val="00E61556"/>
    <w:rsid w:val="00E61EEF"/>
    <w:rsid w:val="00E62E12"/>
    <w:rsid w:val="00E63BE1"/>
    <w:rsid w:val="00E676A9"/>
    <w:rsid w:val="00E76C2C"/>
    <w:rsid w:val="00E77F3B"/>
    <w:rsid w:val="00E81630"/>
    <w:rsid w:val="00E82429"/>
    <w:rsid w:val="00E83237"/>
    <w:rsid w:val="00E83CC3"/>
    <w:rsid w:val="00E91BFF"/>
    <w:rsid w:val="00E942A0"/>
    <w:rsid w:val="00E94A0C"/>
    <w:rsid w:val="00E953A4"/>
    <w:rsid w:val="00E9759B"/>
    <w:rsid w:val="00E97AA9"/>
    <w:rsid w:val="00E97FEE"/>
    <w:rsid w:val="00EB0A36"/>
    <w:rsid w:val="00EB73C8"/>
    <w:rsid w:val="00EC1B1C"/>
    <w:rsid w:val="00EC1B61"/>
    <w:rsid w:val="00EC75F7"/>
    <w:rsid w:val="00ED1AB1"/>
    <w:rsid w:val="00ED1B71"/>
    <w:rsid w:val="00ED4544"/>
    <w:rsid w:val="00ED78B6"/>
    <w:rsid w:val="00EE2E98"/>
    <w:rsid w:val="00EE5780"/>
    <w:rsid w:val="00EE5DBD"/>
    <w:rsid w:val="00EF0BF8"/>
    <w:rsid w:val="00EF4D58"/>
    <w:rsid w:val="00EF5174"/>
    <w:rsid w:val="00EF7D86"/>
    <w:rsid w:val="00F02882"/>
    <w:rsid w:val="00F03148"/>
    <w:rsid w:val="00F1599E"/>
    <w:rsid w:val="00F20689"/>
    <w:rsid w:val="00F302B4"/>
    <w:rsid w:val="00F316B1"/>
    <w:rsid w:val="00F35869"/>
    <w:rsid w:val="00F40F2D"/>
    <w:rsid w:val="00F426EB"/>
    <w:rsid w:val="00F475A6"/>
    <w:rsid w:val="00F47686"/>
    <w:rsid w:val="00F5132D"/>
    <w:rsid w:val="00F525C0"/>
    <w:rsid w:val="00F53D31"/>
    <w:rsid w:val="00F54965"/>
    <w:rsid w:val="00F57B9B"/>
    <w:rsid w:val="00F712AA"/>
    <w:rsid w:val="00F760E3"/>
    <w:rsid w:val="00F84819"/>
    <w:rsid w:val="00F862CD"/>
    <w:rsid w:val="00F8657E"/>
    <w:rsid w:val="00F902EB"/>
    <w:rsid w:val="00F95A0C"/>
    <w:rsid w:val="00F977C3"/>
    <w:rsid w:val="00FA3B8E"/>
    <w:rsid w:val="00FA5757"/>
    <w:rsid w:val="00FA58C9"/>
    <w:rsid w:val="00FB7EB8"/>
    <w:rsid w:val="00FC1BDE"/>
    <w:rsid w:val="00FC248C"/>
    <w:rsid w:val="00FC371B"/>
    <w:rsid w:val="00FC5F67"/>
    <w:rsid w:val="00FC6335"/>
    <w:rsid w:val="00FC7FA6"/>
    <w:rsid w:val="00FD3153"/>
    <w:rsid w:val="00FE2F57"/>
    <w:rsid w:val="00FE5404"/>
    <w:rsid w:val="00FE59AD"/>
    <w:rsid w:val="00FE6729"/>
    <w:rsid w:val="00FE6D5E"/>
    <w:rsid w:val="00FE6FB4"/>
    <w:rsid w:val="00FF1019"/>
    <w:rsid w:val="00FF1FE1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07E4"/>
    <w:rPr>
      <w:rFonts w:ascii="Arial" w:hAnsi="Arial" w:cs="Arial"/>
    </w:rPr>
  </w:style>
  <w:style w:type="paragraph" w:styleId="berschrift1">
    <w:name w:val="heading 1"/>
    <w:basedOn w:val="Standard"/>
    <w:next w:val="Standard"/>
    <w:uiPriority w:val="99"/>
    <w:qFormat/>
    <w:rsid w:val="00D207E4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berschrift2">
    <w:name w:val="heading 2"/>
    <w:aliases w:val="QME"/>
    <w:basedOn w:val="Standard"/>
    <w:next w:val="Standard"/>
    <w:uiPriority w:val="99"/>
    <w:qFormat/>
    <w:rsid w:val="00D207E4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uiPriority w:val="99"/>
    <w:qFormat/>
    <w:rsid w:val="00D207E4"/>
    <w:pPr>
      <w:keepNext/>
      <w:spacing w:after="120"/>
      <w:outlineLvl w:val="2"/>
    </w:pPr>
    <w:rPr>
      <w:b/>
      <w:bCs/>
    </w:rPr>
  </w:style>
  <w:style w:type="paragraph" w:styleId="berschrift4">
    <w:name w:val="heading 4"/>
    <w:basedOn w:val="Standard"/>
    <w:next w:val="Standard"/>
    <w:uiPriority w:val="99"/>
    <w:qFormat/>
    <w:rsid w:val="00C24C1C"/>
    <w:pPr>
      <w:keepNext/>
      <w:outlineLvl w:val="3"/>
    </w:pPr>
    <w:rPr>
      <w:i/>
    </w:rPr>
  </w:style>
  <w:style w:type="paragraph" w:styleId="berschrift5">
    <w:name w:val="heading 5"/>
    <w:basedOn w:val="berschrift1"/>
    <w:next w:val="Links12N0"/>
    <w:link w:val="berschrift5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uiPriority w:val="99"/>
    <w:qFormat/>
    <w:rsid w:val="00AF2FA3"/>
    <w:pPr>
      <w:keepNext/>
      <w:widowControl w:val="0"/>
      <w:spacing w:before="240"/>
      <w:outlineLvl w:val="5"/>
    </w:pPr>
    <w:rPr>
      <w:rFonts w:cs="Times New Roman"/>
      <w:sz w:val="36"/>
    </w:rPr>
  </w:style>
  <w:style w:type="paragraph" w:styleId="berschrift7">
    <w:name w:val="heading 7"/>
    <w:basedOn w:val="berschrift1"/>
    <w:next w:val="Links12N0"/>
    <w:link w:val="berschrift7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6"/>
    </w:pPr>
    <w:rPr>
      <w:sz w:val="24"/>
      <w:szCs w:val="24"/>
    </w:rPr>
  </w:style>
  <w:style w:type="paragraph" w:styleId="berschrift8">
    <w:name w:val="heading 8"/>
    <w:basedOn w:val="berschrift1"/>
    <w:next w:val="Links12N0"/>
    <w:link w:val="berschrift8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7"/>
    </w:pPr>
    <w:rPr>
      <w:sz w:val="24"/>
      <w:szCs w:val="24"/>
    </w:rPr>
  </w:style>
  <w:style w:type="paragraph" w:styleId="berschrift9">
    <w:name w:val="heading 9"/>
    <w:basedOn w:val="berschrift1"/>
    <w:next w:val="Links12N0"/>
    <w:link w:val="berschrift9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8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0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07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07E4"/>
  </w:style>
  <w:style w:type="paragraph" w:customStyle="1" w:styleId="Bericht">
    <w:name w:val="Bericht"/>
    <w:basedOn w:val="Standard"/>
    <w:rsid w:val="00D207E4"/>
    <w:rPr>
      <w:rFonts w:ascii="Times New Roman" w:hAnsi="Times New Roman" w:cs="Times New Roman"/>
    </w:rPr>
  </w:style>
  <w:style w:type="paragraph" w:customStyle="1" w:styleId="stan-b">
    <w:name w:val="stan-üb"/>
    <w:basedOn w:val="Standard"/>
    <w:rsid w:val="00D207E4"/>
    <w:pPr>
      <w:spacing w:before="120"/>
    </w:pPr>
    <w:rPr>
      <w:b/>
      <w:bCs/>
      <w:sz w:val="22"/>
      <w:szCs w:val="22"/>
    </w:rPr>
  </w:style>
  <w:style w:type="paragraph" w:styleId="Textkrper">
    <w:name w:val="Body Text"/>
    <w:basedOn w:val="Standard"/>
    <w:rsid w:val="00D207E4"/>
    <w:pPr>
      <w:jc w:val="both"/>
    </w:pPr>
  </w:style>
  <w:style w:type="table" w:styleId="Tabellengitternetz">
    <w:name w:val="Table Grid"/>
    <w:basedOn w:val="NormaleTabelle"/>
    <w:uiPriority w:val="59"/>
    <w:rsid w:val="0095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Zeileneinzug">
    <w:name w:val="Body Text Indent"/>
    <w:basedOn w:val="Standard"/>
    <w:rsid w:val="006B418B"/>
    <w:pPr>
      <w:spacing w:after="120" w:line="480" w:lineRule="auto"/>
    </w:pPr>
  </w:style>
  <w:style w:type="paragraph" w:customStyle="1" w:styleId="Textkrper21">
    <w:name w:val="Textkörper 21"/>
    <w:basedOn w:val="Standard"/>
    <w:rsid w:val="00AF2FA3"/>
    <w:pPr>
      <w:keepNext/>
      <w:widowControl w:val="0"/>
    </w:pPr>
    <w:rPr>
      <w:rFonts w:cs="Times New Roman"/>
    </w:rPr>
  </w:style>
  <w:style w:type="paragraph" w:styleId="Textkrper2">
    <w:name w:val="Body Text 2"/>
    <w:basedOn w:val="Standard"/>
    <w:rsid w:val="00AF2FA3"/>
    <w:pPr>
      <w:widowControl w:val="0"/>
      <w:numPr>
        <w:ilvl w:val="12"/>
      </w:numPr>
    </w:pPr>
    <w:rPr>
      <w:rFonts w:cs="Times New Roman"/>
      <w:color w:val="FF0000"/>
    </w:rPr>
  </w:style>
  <w:style w:type="character" w:styleId="Hyperlink">
    <w:name w:val="Hyperlink"/>
    <w:basedOn w:val="Absatz-Standardschriftart"/>
    <w:rsid w:val="00A132B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416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16E6"/>
    <w:rPr>
      <w:rFonts w:ascii="Tahoma" w:hAnsi="Tahoma" w:cs="Tahoma"/>
      <w:sz w:val="16"/>
      <w:szCs w:val="16"/>
    </w:rPr>
  </w:style>
  <w:style w:type="paragraph" w:customStyle="1" w:styleId="Links12N0">
    <w:name w:val="Links 12 (N0)"/>
    <w:basedOn w:val="Standard"/>
    <w:uiPriority w:val="99"/>
    <w:rsid w:val="00960E0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locked/>
    <w:rsid w:val="00960E04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C342AA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342AA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B10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rsid w:val="00CF0786"/>
    <w:pPr>
      <w:widowControl w:val="0"/>
      <w:autoSpaceDE w:val="0"/>
      <w:autoSpaceDN w:val="0"/>
      <w:spacing w:before="120" w:after="120"/>
    </w:pPr>
    <w:rPr>
      <w:b/>
      <w:sz w:val="22"/>
      <w:szCs w:val="22"/>
    </w:rPr>
  </w:style>
  <w:style w:type="character" w:customStyle="1" w:styleId="hps">
    <w:name w:val="hps"/>
    <w:basedOn w:val="Absatz-Standardschriftart"/>
    <w:rsid w:val="007D2E05"/>
  </w:style>
  <w:style w:type="character" w:customStyle="1" w:styleId="shorttext">
    <w:name w:val="short_text"/>
    <w:basedOn w:val="Absatz-Standardschriftart"/>
    <w:rsid w:val="00A45A74"/>
  </w:style>
  <w:style w:type="character" w:styleId="BesuchterHyperlink">
    <w:name w:val="FollowedHyperlink"/>
    <w:basedOn w:val="Absatz-Standardschriftart"/>
    <w:rsid w:val="00F57B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4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480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5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65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643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8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55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1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817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933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463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707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481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2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91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0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7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107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958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317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493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6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prache xmlns="42A24AAF-922D-4C4F-9ECE-DCFF7B72B6BE">
      <Value>english</Value>
    </Sprache>
    <Revision xmlns="42A24AAF-922D-4C4F-9ECE-DCFF7B72B6BE">01/09.15</Revision>
    <Standard xmlns="42A24AAF-922D-4C4F-9ECE-DCFF7B72B6BE">
      <Value>TS 16949</Value>
    </Standard>
    <TemplateUrl xmlns="http://schemas.microsoft.com/sharepoint/v3" xsi:nil="true"/>
    <IconOverlay xmlns="http://schemas.microsoft.com/sharepoint/v4" xsi:nil="true"/>
    <_SourceUrl xmlns="http://schemas.microsoft.com/sharepoint/v3" xsi:nil="true"/>
    <xd_ProgID xmlns="http://schemas.microsoft.com/sharepoint/v3" xsi:nil="true"/>
    <Order xmlns="http://schemas.microsoft.com/sharepoint/v3">514500</Order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3" ma:contentTypeDescription="Ein neues Dokument erstellen." ma:contentTypeScope="" ma:versionID="efc51576bf9ff65b972ef6accaaee010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targetNamespace="http://schemas.microsoft.com/office/2006/metadata/properties" ma:root="true" ma:fieldsID="ee4ea3ff2fab0e69b7d55df70a8eda0d" ns1:_="" ns2:_="" ns3:_="">
    <xsd:import namespace="http://schemas.microsoft.com/sharepoint/v3"/>
    <xsd:import namespace="42A24AAF-922D-4C4F-9ECE-DCFF7B72B6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D4C8-D5BC-4713-90FD-89B46836FF4F}">
  <ds:schemaRefs>
    <ds:schemaRef ds:uri="http://schemas.microsoft.com/office/2006/metadata/properties"/>
    <ds:schemaRef ds:uri="42A24AAF-922D-4C4F-9ECE-DCFF7B72B6BE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1C90488-146F-4C10-82B1-5BE360FE4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22452-C1B4-4D01-A08E-A04AE0531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9A5D6-8C8C-48CE-835C-8B5C35B6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Certificate Transfer Application</vt:lpstr>
    </vt:vector>
  </TitlesOfParts>
  <Company>TÜV NORD Z.U.G.</Company>
  <LinksUpToDate>false</LinksUpToDate>
  <CharactersWithSpaces>2797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mailto:TNCertAudit-Result@tuev-nord.de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Transfer Application</dc:title>
  <dc:subject>Ergebnis</dc:subject>
  <dc:creator>HaBrandt</dc:creator>
  <cp:keywords>LDM</cp:keywords>
  <cp:lastModifiedBy>Brandt Harald</cp:lastModifiedBy>
  <cp:revision>15</cp:revision>
  <cp:lastPrinted>2017-12-06T07:30:00Z</cp:lastPrinted>
  <dcterms:created xsi:type="dcterms:W3CDTF">2017-12-01T10:33:00Z</dcterms:created>
  <dcterms:modified xsi:type="dcterms:W3CDTF">2017-12-06T07:30:00Z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Auditergebnisbericht</vt:lpwstr>
  </property>
  <property fmtid="{D5CDD505-2E9C-101B-9397-08002B2CF9AE}" pid="3" name="Standard">
    <vt:lpwstr>TS 16949</vt:lpwstr>
  </property>
  <property fmtid="{D5CDD505-2E9C-101B-9397-08002B2CF9AE}" pid="4" name="Sprache">
    <vt:lpwstr>deutsch</vt:lpwstr>
  </property>
  <property fmtid="{D5CDD505-2E9C-101B-9397-08002B2CF9AE}" pid="5" name="Revision">
    <vt:lpwstr>08/08.07</vt:lpwstr>
  </property>
  <property fmtid="{D5CDD505-2E9C-101B-9397-08002B2CF9AE}" pid="6" name="Subject">
    <vt:lpwstr>Ergebnis</vt:lpwstr>
  </property>
  <property fmtid="{D5CDD505-2E9C-101B-9397-08002B2CF9AE}" pid="7" name="Keywords">
    <vt:lpwstr>LDM</vt:lpwstr>
  </property>
  <property fmtid="{D5CDD505-2E9C-101B-9397-08002B2CF9AE}" pid="8" name="_Author">
    <vt:lpwstr>HaBrandt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Order">
    <vt:r8>514500</vt:r8>
  </property>
  <property fmtid="{D5CDD505-2E9C-101B-9397-08002B2CF9AE}" pid="15" name="ContentTypeId">
    <vt:lpwstr>0x010100AF4AA2422D924F4C9ECEDCFF7B72B6BE</vt:lpwstr>
  </property>
</Properties>
</file>